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 开 招 标 文 件</w:t>
      </w:r>
      <w:r/>
    </w:p>
    <w:p>
      <w:pPr>
        <w:pStyle w:val="1035"/>
        <w:ind w:firstLine="0"/>
        <w:jc w:val="center"/>
        <w:rPr>
          <w:rFonts w:hint="eastAsia" w:ascii="黑体" w:hAnsi="华文中宋" w:eastAsia="黑体"/>
          <w:bCs/>
          <w:color w:val="000000" w:themeColor="text1"/>
          <w:spacing w:val="20"/>
          <w:sz w:val="52"/>
          <w:szCs w:val="52"/>
          <w:highlight w:val="white"/>
          <w14:textFill>
            <w14:solidFill>
              <w14:schemeClr w14:val="tx1"/>
            </w14:solidFill>
          </w14:textFill>
        </w:rPr>
      </w:pPr>
      <w:r>
        <w:rPr>
          <w:rFonts w:hint="eastAsia" w:ascii="黑体" w:hAnsi="华文中宋" w:eastAsia="黑体"/>
          <w:bCs/>
          <w:color w:val="000000" w:themeColor="text1"/>
          <w:spacing w:val="20"/>
          <w:sz w:val="52"/>
          <w:szCs w:val="5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JSZC-320200-XWJC-G2025-0130</w:t>
      </w:r>
      <w:r/>
    </w:p>
    <w:p>
      <w:pPr>
        <w:ind w:left="3200" w:hanging="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江南大学附属医院同位素激光成像系统项目</w:t>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 购 人：江南大学附属医院</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二〇二五年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十二</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16938516"/>
      <w:r/>
      <w:bookmarkStart w:id="3" w:name="_Toc523127445"/>
      <w:r/>
      <w:bookmarkStart w:id="4" w:name="_Toc20823272"/>
      <w:r/>
      <w:bookmarkStart w:id="5" w:name="_Toc513029200"/>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投标文件内容与格式-----------------------（40）</w:t>
      </w:r>
      <w:r/>
    </w:p>
    <w:p>
      <w:pPr>
        <w:pStyle w:val="75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2"/>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r>
      <w:r/>
    </w:p>
    <w:p>
      <w:pPr>
        <w:pStyle w:val="735"/>
        <w:ind w:firstLine="0"/>
        <w:rPr>
          <w:highlight w:val="white"/>
        </w:rPr>
      </w:pPr>
      <w:r>
        <w:rPr>
          <w:highlight w:val="white"/>
        </w:rPr>
      </w:r>
      <w:r/>
    </w:p>
    <w:p>
      <w:pPr>
        <w:pStyle w:val="735"/>
        <w:ind w:firstLine="0"/>
        <w:rPr>
          <w:highlight w:val="white"/>
        </w:rPr>
      </w:pPr>
      <w:r>
        <w:rPr>
          <w:highlight w:val="white"/>
        </w:rPr>
      </w:r>
      <w:r/>
    </w:p>
    <w:p>
      <w:pPr>
        <w:pStyle w:val="735"/>
        <w:ind w:firstLine="0"/>
        <w:rPr>
          <w:highlight w:val="white"/>
        </w:rPr>
      </w:pPr>
      <w:r>
        <w:rPr>
          <w:highlight w:val="white"/>
        </w:rPr>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江南大学附属医院同位素激光成像系统项目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JSZC-320200-XWJC-G2025-0130</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江南大学附属医院同位素激光成像系统项目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2026年1月8日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JSZC-320200-XWJC-G2025-0130</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江南大学附属医院同位素激光成像系统项目</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85</w:t>
      </w:r>
      <w:r>
        <w:rPr>
          <w:rFonts w:hint="eastAsia" w:ascii="宋体" w:hAnsi="宋体"/>
          <w:color w:val="000000" w:themeColor="text1"/>
          <w:sz w:val="24"/>
          <w:szCs w:val="24"/>
          <w:highlight w:val="white"/>
          <w14:textFill>
            <w14:solidFill>
              <w14:schemeClr w14:val="tx1"/>
            </w14:solidFill>
          </w14:textFill>
        </w:rPr>
        <w:t xml:space="preserve">万元/</w:t>
      </w:r>
      <w:r>
        <w:rPr>
          <w:rFonts w:hint="eastAsia" w:ascii="宋体" w:hAnsi="宋体"/>
          <w:color w:val="000000" w:themeColor="text1"/>
          <w:sz w:val="24"/>
          <w:szCs w:val="24"/>
          <w:highlight w:val="white"/>
          <w:lang w:val="en-US" w:eastAsia="zh-CN"/>
          <w14:textFill>
            <w14:solidFill>
              <w14:schemeClr w14:val="tx1"/>
            </w14:solidFill>
          </w14:textFill>
        </w:rPr>
        <w:t xml:space="preserve">1台</w:t>
      </w:r>
      <w:r/>
    </w:p>
    <w:p>
      <w:pPr>
        <w:ind w:firstLine="480"/>
        <w:spacing w:line="500" w:lineRule="exact"/>
        <w:rPr>
          <w:rFonts w:hint="eastAsia" w:ascii="宋体" w:hAnsi="宋体" w:cs="宋体"/>
          <w:i/>
          <w:i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83</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28359080"/>
      <w:r/>
      <w:bookmarkStart w:id="13" w:name="_Toc35393622"/>
      <w:r/>
      <w:bookmarkStart w:id="14" w:name="_Toc38985264"/>
      <w:r/>
      <w:bookmarkStart w:id="15" w:name="_Toc35393791"/>
      <w:r/>
      <w:bookmarkStart w:id="16" w:name="_Toc28359003"/>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7" w:name="_Toc35393623"/>
      <w:r/>
      <w:bookmarkStart w:id="18" w:name="_Toc38985265"/>
      <w:r/>
      <w:bookmarkStart w:id="19" w:name="_Toc28359081"/>
      <w:r/>
      <w:bookmarkStart w:id="20" w:name="_Toc35393792"/>
      <w:r/>
      <w:bookmarkStart w:id="21" w:name="_Toc28359004"/>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w:t>
      </w:r>
      <w:r>
        <w:rPr>
          <w:rFonts w:hint="eastAsia"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 </w:t>
      </w:r>
      <w:r>
        <w:rPr>
          <w:rFonts w:hint="eastAsia" w:ascii="宋体" w:hAnsi="宋体"/>
          <w:color w:val="000000" w:themeColor="text1"/>
          <w:sz w:val="24"/>
          <w:szCs w:val="24"/>
          <w:highlight w:val="none"/>
          <w:lang w:val="en-US" w:eastAsia="zh-CN"/>
          <w14:textFill>
            <w14:solidFill>
              <w14:schemeClr w14:val="tx1"/>
            </w14:solidFill>
          </w14:textFill>
        </w:rPr>
        <w:t xml:space="preserve">无</w:t>
      </w:r>
      <w:r/>
    </w:p>
    <w:p>
      <w:pPr>
        <w:ind w:firstLine="480"/>
        <w:spacing w:line="500" w:lineRule="exact"/>
        <w:rPr>
          <w:b/>
          <w:bCs/>
          <w:color w:val="000000" w:themeColor="text1"/>
          <w:sz w:val="30"/>
          <w:szCs w:val="30"/>
          <w:highlight w:val="white"/>
          <w14:textFill>
            <w14:solidFill>
              <w14:schemeClr w14:val="tx1"/>
            </w14:solidFill>
          </w14:textFill>
        </w:rPr>
      </w:pPr>
      <w:r>
        <w:rPr>
          <w:rFonts w:hint="eastAsia"/>
          <w:b/>
          <w:bCs/>
          <w:color w:val="000000" w:themeColor="text1"/>
          <w:sz w:val="30"/>
          <w:szCs w:val="30"/>
          <w:highlight w:val="white"/>
          <w14:textFill>
            <w14:solidFill>
              <w14:schemeClr w14:val="tx1"/>
            </w14:solidFill>
          </w14:textFill>
        </w:rPr>
        <w:t xml:space="preserve">三、获取招标文件</w:t>
      </w:r>
      <w:bookmarkEnd w:id="17"/>
      <w:r>
        <w:rPr>
          <w:b/>
          <w:bCs/>
        </w:rPr>
      </w:r>
      <w:bookmarkEnd w:id="18"/>
      <w:r>
        <w:rPr>
          <w:b/>
          <w:bCs/>
        </w:rPr>
      </w:r>
      <w:bookmarkEnd w:id="19"/>
      <w:r>
        <w:rPr>
          <w:b/>
          <w:bCs/>
        </w:rPr>
      </w:r>
      <w:bookmarkEnd w:id="20"/>
      <w:r>
        <w:rPr>
          <w:b/>
          <w:bCs/>
        </w:rPr>
      </w:r>
      <w:bookmarkEnd w:id="21"/>
      <w:r>
        <w:rPr>
          <w:b/>
          <w:bCs/>
        </w:rPr>
      </w:r>
      <w:r/>
    </w:p>
    <w:p>
      <w:pPr>
        <w:ind w:firstLine="54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24"/>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2026年1月8日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8985267"/>
      <w:r/>
      <w:bookmarkStart w:id="28" w:name="_Toc28359084"/>
      <w:r/>
      <w:bookmarkStart w:id="29" w:name="_Toc35393794"/>
      <w:r/>
      <w:bookmarkStart w:id="30" w:name="_Toc28359007"/>
      <w:r/>
      <w:bookmarkStart w:id="31" w:name="_Toc35393625"/>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5393627"/>
      <w:r/>
      <w:bookmarkStart w:id="36" w:name="_Toc35393796"/>
      <w:r/>
      <w:bookmarkStart w:id="37" w:name="_Toc28359085"/>
      <w:r/>
      <w:bookmarkStart w:id="38" w:name="_Toc28359008"/>
      <w:r/>
      <w:bookmarkStart w:id="39" w:name="_Toc38985269"/>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采购人项目咨询联系人：联系人姓名：林老师；电话：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white"/>
          <w:lang w:val="en-US" w:eastAsia="zh-CN"/>
          <w14:textFill>
            <w14:solidFill>
              <w14:schemeClr w14:val="tx1"/>
            </w14:solidFill>
          </w14:textFill>
        </w:rPr>
        <w:t xml:space="preserve">陆</w:t>
      </w:r>
      <w:r>
        <w:rPr>
          <w:rFonts w:hint="eastAsia" w:ascii="宋体" w:hAnsi="宋体" w:cs="宋体"/>
          <w:color w:val="000000" w:themeColor="text1"/>
          <w:sz w:val="24"/>
          <w:szCs w:val="24"/>
          <w:highlight w:val="white"/>
          <w14:textFill>
            <w14:solidFill>
              <w14:schemeClr w14:val="tx1"/>
            </w14:solidFill>
          </w14:textFill>
        </w:rPr>
        <w:t xml:space="preserve">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无锡市卫生健康综合服务中心项目联系人：孙老师；电话：0510-85757946</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20823275"/>
      <w:r/>
      <w:bookmarkStart w:id="48" w:name="_Toc513029203"/>
      <w:r/>
      <w:bookmarkStart w:id="49" w:name="_Toc16938519"/>
      <w:r/>
      <w:bookmarkStart w:id="50" w:name="_Toc120614214"/>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5" w:name="_Toc513029205"/>
      <w:r/>
      <w:bookmarkStart w:id="56" w:name="_Toc16938521"/>
      <w:r/>
      <w:bookmarkStart w:id="57" w:name="_Toc20823277"/>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1" w:name="_Toc20823279"/>
      <w:r/>
      <w:bookmarkStart w:id="62" w:name="_Toc462564067"/>
      <w:r/>
      <w:bookmarkStart w:id="63" w:name="_Toc513029207"/>
      <w:r/>
      <w:bookmarkStart w:id="64" w:name="_Toc16938523"/>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20823281"/>
      <w:r/>
      <w:bookmarkStart w:id="66" w:name="_Toc513029209"/>
      <w:r/>
      <w:bookmarkStart w:id="67" w:name="_Toc16938525"/>
      <w:r/>
      <w:bookmarkStart w:id="68" w:name="_Toc12061421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2" w:name="_Toc462564070"/>
      <w:r/>
      <w:bookmarkStart w:id="73" w:name="_Toc20823283"/>
      <w:r/>
      <w:bookmarkStart w:id="74" w:name="_Toc16938527"/>
      <w:r/>
      <w:bookmarkStart w:id="75" w:name="_Toc513029211"/>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7.1</w:t>
      </w:r>
      <w:r>
        <w:rPr>
          <w:rFonts w:hint="eastAsia" w:ascii="宋体" w:hAnsi="宋体"/>
          <w:bCs/>
          <w:color w:val="000000"/>
          <w:sz w:val="24"/>
          <w:highlight w:val="whit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6" w:name="_Toc16938528"/>
      <w:r/>
      <w:bookmarkStart w:id="77" w:name="_Toc513029212"/>
      <w:r/>
      <w:bookmarkStart w:id="78" w:name="_Toc20823284"/>
      <w:r/>
      <w:bookmarkStart w:id="79" w:name="_Toc462564071"/>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120614216"/>
      <w:r/>
      <w:bookmarkStart w:id="81" w:name="_Toc16938529"/>
      <w:r/>
      <w:bookmarkStart w:id="82" w:name="_Toc513029213"/>
      <w:r/>
      <w:bookmarkStart w:id="83" w:name="_Toc20823285"/>
      <w:r/>
      <w:bookmarkStart w:id="84" w:name="_Toc462564072"/>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5" w:name="_Toc20823286"/>
      <w:r/>
      <w:bookmarkStart w:id="86" w:name="_Toc462564073"/>
      <w:r/>
      <w:bookmarkStart w:id="87" w:name="_Toc513029214"/>
      <w:r/>
      <w:bookmarkStart w:id="88" w:name="_Toc16938530"/>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9" w:name="_Toc462564074"/>
      <w:r/>
      <w:bookmarkStart w:id="90" w:name="_Toc16938531"/>
      <w:r/>
      <w:bookmarkStart w:id="91" w:name="_Toc513029215"/>
      <w:r/>
      <w:bookmarkStart w:id="92" w:name="_Toc20823287"/>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93" w:name="_Hlt26670360"/>
      <w:r/>
      <w:bookmarkEnd w:id="93"/>
      <w:r/>
      <w:bookmarkStart w:id="94" w:name="_Hlt26668975"/>
      <w:r/>
      <w:bookmarkEnd w:id="94"/>
      <w:r/>
      <w:bookmarkStart w:id="95" w:name="_Hlt26954838"/>
      <w:r/>
      <w:bookmarkEnd w:id="95"/>
      <w:r/>
      <w:bookmarkStart w:id="96" w:name="_Toc49090507"/>
      <w:r/>
      <w:bookmarkStart w:id="97" w:name="_Toc49090509"/>
      <w:r/>
      <w:bookmarkStart w:id="98" w:name="_Toc14577354"/>
      <w:r/>
      <w:bookmarkStart w:id="99" w:name="_Toc513029219"/>
      <w:r/>
      <w:bookmarkStart w:id="100" w:name="_Toc513029216"/>
      <w:r/>
      <w:bookmarkStart w:id="101" w:name="_Toc14577357"/>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8" w:name="_Hlt26668983"/>
      <w:r/>
      <w:bookmarkEnd w:id="108"/>
      <w:r/>
      <w:bookmarkStart w:id="109" w:name="_Hlt26954848"/>
      <w:r/>
      <w:bookmarkEnd w:id="109"/>
      <w:r/>
      <w:bookmarkStart w:id="110" w:name="_Hlt26954731"/>
      <w:r/>
      <w:bookmarkEnd w:id="110"/>
      <w:r/>
      <w:bookmarkStart w:id="111" w:name="_Hlt26670482"/>
      <w:r/>
      <w:bookmarkEnd w:id="111"/>
      <w:r/>
      <w:bookmarkStart w:id="112" w:name="_Hlt26954846"/>
      <w:r/>
      <w:bookmarkEnd w:id="112"/>
      <w:r/>
      <w:bookmarkStart w:id="113" w:name="_Hlt26670486"/>
      <w:r/>
      <w:bookmarkEnd w:id="113"/>
      <w:r/>
      <w:bookmarkStart w:id="114" w:name="_Hlt26954844"/>
      <w:r/>
      <w:bookmarkEnd w:id="114"/>
      <w:r/>
      <w:bookmarkStart w:id="115" w:name="_Hlt26670425"/>
      <w:r/>
      <w:bookmarkEnd w:id="115"/>
      <w:r/>
      <w:bookmarkStart w:id="116" w:name="_Hlt26670403"/>
      <w:r/>
      <w:bookmarkEnd w:id="116"/>
      <w:r/>
      <w:bookmarkStart w:id="117" w:name="_Hlt26954842"/>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739"/>
      <w:r/>
      <w:bookmarkEnd w:id="123"/>
      <w:r/>
      <w:bookmarkStart w:id="124" w:name="_Hlt26954852"/>
      <w:r/>
      <w:bookmarkEnd w:id="124"/>
      <w:r/>
      <w:bookmarkStart w:id="125" w:name="_Toc20823296"/>
      <w:r/>
      <w:bookmarkStart w:id="126" w:name="_Toc16938540"/>
      <w:r/>
      <w:bookmarkStart w:id="127" w:name="_Toc513029224"/>
      <w:r/>
      <w:bookmarkStart w:id="128" w:name="_Toc120614217"/>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29" w:name="_Toc16938541"/>
      <w:r/>
      <w:bookmarkStart w:id="130" w:name="_Toc462564084"/>
      <w:r/>
      <w:bookmarkStart w:id="131" w:name="_Toc513029225"/>
      <w:r/>
      <w:bookmarkStart w:id="132" w:name="_Toc20823297"/>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60"/>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6" w:name="_Toc20823299"/>
      <w:r/>
      <w:bookmarkStart w:id="137" w:name="_Toc513029227"/>
      <w:r/>
      <w:bookmarkStart w:id="138" w:name="_Toc16938543"/>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9" w:name="_Toc513029228"/>
      <w:r/>
      <w:bookmarkStart w:id="140" w:name="_Toc20823300"/>
      <w:r/>
      <w:bookmarkStart w:id="141" w:name="_Toc16938544"/>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20614218"/>
      <w:r/>
      <w:bookmarkStart w:id="143" w:name="_Toc513029229"/>
      <w:r/>
      <w:bookmarkStart w:id="144" w:name="_Toc16938545"/>
      <w:r/>
      <w:bookmarkStart w:id="145" w:name="_Toc20823301"/>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6" w:name="_Toc513029230"/>
      <w:r/>
      <w:bookmarkStart w:id="147" w:name="_Toc20823302"/>
      <w:r/>
      <w:bookmarkStart w:id="148" w:name="_Toc16938546"/>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9" w:name="_Toc16938547"/>
      <w:r/>
      <w:bookmarkStart w:id="150" w:name="_Toc513029231"/>
      <w:r/>
      <w:bookmarkStart w:id="151" w:name="_Toc20823303"/>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5" w:name="_Toc16938549"/>
      <w:r/>
      <w:bookmarkStart w:id="156" w:name="_Toc20823305"/>
      <w:r/>
      <w:bookmarkStart w:id="157" w:name="_Toc513029233"/>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14:textFill>
            <w14:solidFill>
              <w14:schemeClr w14:val="tx1"/>
            </w14:solidFill>
          </w14:textFill>
        </w:rPr>
      </w:pPr>
      <w:r/>
      <w:bookmarkStart w:id="158" w:name="_Toc16938550"/>
      <w:r/>
      <w:bookmarkStart w:id="159" w:name="_Toc20823306"/>
      <w:r/>
      <w:bookmarkStart w:id="160" w:name="_Toc513029234"/>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4"/>
        <w:ind w:firstLine="422"/>
        <w:keepLines w:val="0"/>
        <w:keepNext w:val="0"/>
        <w:spacing w:before="0" w:after="0" w:line="500" w:lineRule="exact"/>
        <w:rPr>
          <w:rFonts w:hint="eastAsia" w:ascii="宋体" w:hAnsi="宋体" w:eastAsia="宋体" w:cs="Times New Roman"/>
          <w:b w:val="0"/>
          <w:bCs/>
          <w:color w:val="000000" w:themeColor="text1"/>
          <w:sz w:val="24"/>
          <w:szCs w:val="21"/>
          <w:highlight w:val="white"/>
          <w14:textFill>
            <w14:solidFill>
              <w14:schemeClr w14:val="tx1"/>
            </w14:solidFill>
          </w14:textFill>
        </w:rPr>
      </w:pPr>
      <w:r>
        <w:rPr>
          <w:rFonts w:hint="eastAsia" w:ascii="宋体" w:hAnsi="宋体" w:eastAsia="宋体" w:cs="Times New Roman"/>
          <w:b w:val="0"/>
          <w:bCs/>
          <w:color w:val="000000" w:themeColor="text1"/>
          <w:sz w:val="24"/>
          <w:szCs w:val="21"/>
          <w:highlight w:val="whit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whit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 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 </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513029236"/>
      <w:r/>
      <w:bookmarkStart w:id="170" w:name="_Toc20823308"/>
      <w:r/>
      <w:bookmarkStart w:id="171" w:name="_Toc120614220"/>
      <w:r/>
      <w:bookmarkStart w:id="172" w:name="_Toc16938552"/>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2"/>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479757207"/>
      <w:r/>
      <w:bookmarkStart w:id="177" w:name="_Toc16938558"/>
      <w:r/>
      <w:bookmarkStart w:id="178" w:name="_Toc513029242"/>
      <w:r/>
      <w:bookmarkStart w:id="179" w:name="_Toc20823314"/>
      <w:r/>
      <w:bookmarkStart w:id="180" w:name="_Toc120614221"/>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spacing w:line="400" w:lineRule="exact"/>
        <w:rPr>
          <w:rFonts w:hint="eastAsia" w:ascii="宋体" w:hAnsi="宋体" w:cs="宋体"/>
          <w:bCs/>
          <w:sz w:val="24"/>
          <w:szCs w:val="24"/>
          <w:highlight w:val="white"/>
        </w:rPr>
      </w:pPr>
      <w:r/>
      <w:bookmarkStart w:id="181" w:name="_Hlt16619350"/>
      <w:r/>
      <w:bookmarkStart w:id="182" w:name="_Toc20823346"/>
      <w:r/>
      <w:bookmarkStart w:id="183" w:name="_Toc16938590"/>
      <w:r/>
      <w:bookmarkStart w:id="184" w:name="_Toc120614244"/>
      <w:r/>
      <w:bookmarkStart w:id="185" w:name="_Toc462564139"/>
      <w:r/>
      <w:bookmarkStart w:id="186" w:name="_Toc479757211"/>
      <w:r>
        <w:rPr>
          <w:rFonts w:hint="eastAsia" w:ascii="宋体" w:hAnsi="宋体" w:cs="宋体"/>
          <w:bCs/>
          <w:sz w:val="24"/>
          <w:szCs w:val="24"/>
          <w:highlight w:val="white"/>
        </w:rPr>
        <w:t xml:space="preserve">项目名称：</w:t>
      </w:r>
      <w:r/>
    </w:p>
    <w:p>
      <w:pPr>
        <w:jc w:val="left"/>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项目编号：</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甲方：（采购人）_________</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乙方：（成交方）_________</w:t>
      </w:r>
      <w:r/>
    </w:p>
    <w:p>
      <w:pPr>
        <w:ind w:firstLine="480"/>
        <w:spacing w:line="400" w:lineRule="exact"/>
        <w:rPr>
          <w:rFonts w:hint="eastAsia" w:ascii="宋体" w:hAnsi="宋体" w:cs="宋体"/>
          <w:b/>
          <w:sz w:val="24"/>
          <w:szCs w:val="24"/>
          <w:highlight w:val="white"/>
        </w:rPr>
      </w:pPr>
      <w:r>
        <w:rPr>
          <w:rFonts w:hint="eastAsia" w:ascii="宋体" w:hAnsi="宋体" w:cs="宋体"/>
          <w:sz w:val="24"/>
          <w:szCs w:val="24"/>
          <w:highlight w:val="white"/>
        </w:rPr>
        <w:t xml:space="preserve">甲、乙双方根据无锡市卫生健康综合服务中心</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项目招标的结果，签署本合同。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一、合同内容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 采购内容：货物名称、规格型号、数量、单价、成交总价</w:t>
      </w:r>
      <w:r/>
    </w:p>
    <w:tbl>
      <w:tblPr>
        <w:tblStyle w:val="75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数量</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单价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成交总价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r>
      <w:tr>
        <w:trPr/>
        <w:tc>
          <w:tcPr>
            <w:tcW w:w="147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72"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50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81"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16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94"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r>
      <w:tr>
        <w:trPr/>
        <w:tc>
          <w:tcPr>
            <w:gridSpan w:val="4"/>
            <w:tcW w:w="5737"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总计（大写）：</w:t>
            </w:r>
            <w:r/>
          </w:p>
        </w:tc>
        <w:tc>
          <w:tcPr>
            <w:gridSpan w:val="2"/>
            <w:tcW w:w="255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（小写）：</w:t>
            </w:r>
            <w:r/>
          </w:p>
        </w:tc>
      </w:tr>
    </w:tbl>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以上价格均为含税价格。</w:t>
      </w:r>
      <w:r/>
    </w:p>
    <w:p>
      <w:pPr>
        <w:ind w:firstLine="480"/>
        <w:spacing w:line="400" w:lineRule="exact"/>
        <w:rPr>
          <w:rFonts w:hint="eastAsia" w:ascii="宋体" w:hAnsi="宋体" w:cs="宋体"/>
          <w:i/>
          <w:iCs/>
          <w:sz w:val="24"/>
          <w:szCs w:val="24"/>
          <w:highlight w:val="white"/>
        </w:rPr>
      </w:pPr>
      <w:r>
        <w:rPr>
          <w:rFonts w:hint="eastAsia" w:ascii="宋体" w:hAnsi="宋体" w:cs="宋体"/>
          <w:sz w:val="24"/>
          <w:szCs w:val="24"/>
          <w:highlight w:val="white"/>
        </w:rPr>
        <w:t xml:space="preserve">1.2 标的质量与检验：</w:t>
      </w:r>
      <w:r>
        <w:rPr>
          <w:rFonts w:hint="eastAsia" w:ascii="宋体" w:hAnsi="宋体" w:cs="宋体"/>
          <w:i/>
          <w:iCs/>
          <w:sz w:val="24"/>
          <w:szCs w:val="24"/>
          <w:highlight w:val="white"/>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1.3履行时间（交货或完工期限）：合同生效之日起</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天内，交货并完成安装调试。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1.4履行地点： 甲方所在地指定地点。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1.5.1.3货物交货时，所有货物必须带有装箱单、</w:t>
      </w:r>
      <w:r>
        <w:rPr>
          <w:rFonts w:hint="eastAsia" w:ascii="宋体" w:hAnsi="宋体" w:cs="宋体"/>
          <w:sz w:val="24"/>
          <w:szCs w:val="24"/>
          <w:highlight w:val="white"/>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highlight w:val="white"/>
        </w:rPr>
        <w:t xml:space="preserve">。其他附件所有部件必须原包装。</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1.5.2.3超过</w:t>
      </w:r>
      <w:r>
        <w:rPr>
          <w:rFonts w:hint="eastAsia" w:ascii="宋体" w:hAnsi="宋体" w:cs="宋体"/>
          <w:bCs/>
          <w:sz w:val="24"/>
          <w:szCs w:val="24"/>
          <w:highlight w:val="white"/>
          <w:lang w:val="en-US" w:eastAsia="zh-CN"/>
        </w:rPr>
        <w:t xml:space="preserve">质保</w:t>
      </w:r>
      <w:r>
        <w:rPr>
          <w:rFonts w:hint="eastAsia" w:ascii="宋体" w:hAnsi="宋体" w:cs="宋体"/>
          <w:bCs/>
          <w:sz w:val="24"/>
          <w:szCs w:val="24"/>
          <w:highlight w:val="white"/>
        </w:rPr>
        <w:t xml:space="preserve">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w:t>
      </w:r>
      <w:r>
        <w:rPr>
          <w:rFonts w:hint="eastAsia" w:ascii="宋体" w:hAnsi="宋体" w:cs="宋体"/>
          <w:sz w:val="24"/>
          <w:szCs w:val="24"/>
          <w:highlight w:val="whit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 包装方式：</w:t>
      </w:r>
      <w:r>
        <w:rPr>
          <w:rFonts w:hint="eastAsia" w:ascii="宋体" w:hAnsi="宋体" w:cs="宋体"/>
          <w:iCs/>
          <w:sz w:val="24"/>
          <w:szCs w:val="24"/>
          <w:highlight w:val="white"/>
          <w:u w:val="single"/>
        </w:rPr>
        <w:t xml:space="preserve">箱板包装。</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二、合同金额</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2.1本合同含税金额为（大写）： _____________圆（______元）人民币。</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三、技术资料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3.1乙方应按招标文件规定的时间向甲方提供使用货物</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包含与货物相关的服务</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的有关技术资料。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四、知识产权</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highlight w:val="white"/>
          <w:u w:val="single"/>
        </w:rPr>
      </w:pPr>
      <w:r>
        <w:rPr>
          <w:rFonts w:hint="eastAsia" w:ascii="宋体" w:hAnsi="宋体" w:cs="宋体"/>
          <w:b/>
          <w:sz w:val="24"/>
          <w:szCs w:val="24"/>
          <w:highlight w:val="white"/>
        </w:rPr>
        <w:t xml:space="preserve">五、产权担保</w:t>
      </w:r>
      <w:r/>
    </w:p>
    <w:p>
      <w:pPr>
        <w:ind w:firstLine="480"/>
        <w:spacing w:line="400" w:lineRule="exact"/>
        <w:rPr>
          <w:rFonts w:hint="eastAsia" w:ascii="宋体" w:hAnsi="宋体" w:cs="宋体"/>
          <w:sz w:val="24"/>
          <w:szCs w:val="24"/>
          <w:highlight w:val="white"/>
          <w:u w:val="single"/>
        </w:rPr>
      </w:pPr>
      <w:r>
        <w:rPr>
          <w:rFonts w:hint="eastAsia" w:ascii="宋体" w:hAnsi="宋体" w:cs="宋体"/>
          <w:sz w:val="24"/>
          <w:szCs w:val="24"/>
          <w:highlight w:val="white"/>
        </w:rPr>
        <w:t xml:space="preserve">5.1 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6.1履约保证金缴纳金额：中标金额的10%。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①由于供方的原因不能履约的。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七、合同转包或分包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7.1乙方不得将合同标的转包给他人履行。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7.3乙方如有转包或未经甲方同意的分包行为，甲方有权给予终止合同。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八、合同款项支付</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8.1合同款项的支付方式及进度安排</w:t>
      </w:r>
      <w:r/>
    </w:p>
    <w:p>
      <w:pPr>
        <w:ind w:firstLine="480"/>
        <w:spacing w:line="400" w:lineRule="exact"/>
        <w:rPr>
          <w:rFonts w:hint="eastAsia" w:ascii="宋体" w:hAnsi="宋体" w:eastAsia="宋体" w:cs="宋体"/>
          <w:color w:val="ff0000"/>
          <w:sz w:val="24"/>
          <w:szCs w:val="24"/>
        </w:rPr>
      </w:pPr>
      <w:r>
        <w:rPr>
          <w:rFonts w:hint="eastAsia" w:ascii="宋体" w:hAnsi="宋体" w:eastAsia="宋体" w:cs="宋体"/>
          <w:sz w:val="24"/>
          <w:szCs w:val="24"/>
        </w:rPr>
        <w:t xml:space="preserve">合同签订生效后预支付合同总金额的</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%，货到现场安装、调试、培训、验收合格后支付合同总金额的 </w:t>
      </w: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%，验收合格</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年后支付</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 %余款。（如果制造商为中小企业，按《保障中小企业款项支付条例》(国令第 802号)相关要求执行。）</w:t>
      </w:r>
      <w:r/>
    </w:p>
    <w:p>
      <w:pPr>
        <w:ind w:firstLine="480"/>
        <w:spacing w:line="400" w:lineRule="exact"/>
        <w:rPr>
          <w:rFonts w:hint="eastAsia" w:ascii="宋体" w:hAnsi="宋体" w:cs="宋体"/>
          <w:sz w:val="24"/>
          <w:szCs w:val="24"/>
          <w:highlight w:val="white"/>
        </w:rPr>
      </w:pPr>
      <w:r>
        <w:rPr>
          <w:rFonts w:hint="eastAsia" w:ascii="宋体" w:hAnsi="宋体" w:cs="宋体"/>
          <w:bCs/>
          <w:sz w:val="24"/>
          <w:szCs w:val="24"/>
          <w:highlight w:val="white"/>
        </w:rPr>
        <w:t xml:space="preserve">8.2</w:t>
      </w:r>
      <w:r>
        <w:rPr>
          <w:rFonts w:hint="eastAsia" w:ascii="宋体" w:hAnsi="宋体" w:cs="宋体"/>
          <w:sz w:val="24"/>
          <w:szCs w:val="24"/>
          <w:highlight w:val="white"/>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九、税费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9.1本合同执行中相关的一切税费均由乙方负担。</w:t>
      </w:r>
      <w:r/>
    </w:p>
    <w:p>
      <w:pPr>
        <w:ind w:firstLine="482"/>
        <w:spacing w:line="400" w:lineRule="exact"/>
        <w:rPr>
          <w:rFonts w:hint="eastAsia" w:ascii="宋体" w:hAnsi="宋体" w:cs="宋体"/>
          <w:sz w:val="24"/>
          <w:szCs w:val="24"/>
          <w:highlight w:val="white"/>
        </w:rPr>
      </w:pPr>
      <w:r>
        <w:rPr>
          <w:rFonts w:hint="eastAsia" w:ascii="宋体" w:hAnsi="宋体" w:cs="宋体"/>
          <w:b/>
          <w:sz w:val="24"/>
          <w:szCs w:val="24"/>
          <w:highlight w:val="white"/>
        </w:rPr>
        <w:t xml:space="preserve">十、质量保修范围和</w:t>
      </w:r>
      <w:r>
        <w:rPr>
          <w:rFonts w:hint="eastAsia" w:ascii="宋体" w:hAnsi="宋体" w:cs="宋体"/>
          <w:b/>
          <w:sz w:val="24"/>
          <w:szCs w:val="24"/>
          <w:highlight w:val="white"/>
          <w:lang w:val="en-US" w:eastAsia="zh-CN"/>
        </w:rPr>
        <w:t xml:space="preserve">质保</w:t>
      </w:r>
      <w:r>
        <w:rPr>
          <w:rFonts w:hint="eastAsia" w:ascii="宋体" w:hAnsi="宋体" w:cs="宋体"/>
          <w:b/>
          <w:sz w:val="24"/>
          <w:szCs w:val="24"/>
          <w:highlight w:val="white"/>
        </w:rPr>
        <w:t xml:space="preserve">期及售后服务</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⑴更换：由乙方承担所发生的全部费用。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⑵贬值处理：由甲乙双方合议定价。</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10.3如在使用过程中发生质量问题</w:t>
      </w:r>
      <w:r>
        <w:rPr>
          <w:rFonts w:hint="eastAsia" w:ascii="宋体" w:hAnsi="宋体" w:cs="宋体"/>
          <w:sz w:val="24"/>
          <w:szCs w:val="24"/>
          <w:highlight w:val="white"/>
          <w:lang w:val="en-US" w:eastAsia="zh-CN"/>
        </w:rPr>
        <w:t xml:space="preserve">或故障</w:t>
      </w:r>
      <w:r>
        <w:rPr>
          <w:rFonts w:hint="eastAsia" w:ascii="宋体" w:hAnsi="宋体" w:cs="宋体"/>
          <w:sz w:val="24"/>
          <w:szCs w:val="24"/>
          <w:highlight w:val="white"/>
        </w:rPr>
        <w:t xml:space="preserve">，乙方在接到甲方通知后在_________小时内到达甲方现场。</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10.5上述的货物免费</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年（自交货验收合格之日起计），因人为因素出现的故障不在免费保修范围内。超过</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期的机器设备，终身维修，维修只收配件费，供方必须以低于市场价的80％优惠提供，具体</w:t>
      </w:r>
      <w:r>
        <w:rPr>
          <w:rFonts w:hint="eastAsia" w:ascii="宋体" w:hAnsi="宋体" w:cs="宋体"/>
          <w:bCs/>
          <w:sz w:val="24"/>
          <w:szCs w:val="24"/>
          <w:highlight w:val="white"/>
        </w:rPr>
        <w:t xml:space="preserve">由双方协商再定。</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十一、项目验收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11.1甲方依法组织履约验收工作。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11.3对于实际使用人和甲方分离的项目，甲方邀请实际使用人参与验收。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w:t>
      </w:r>
      <w:r>
        <w:rPr>
          <w:rFonts w:hint="eastAsia" w:ascii="宋体" w:hAnsi="宋体"/>
          <w:bCs/>
          <w:sz w:val="24"/>
          <w:szCs w:val="24"/>
          <w:highlight w:val="white"/>
        </w:rPr>
        <w:t xml:space="preserve">过一年，国产产品不超过半年（以铭牌或说明书确认）</w:t>
      </w:r>
      <w:r>
        <w:rPr>
          <w:rFonts w:hint="eastAsia" w:ascii="宋体" w:hAnsi="宋体" w:cs="宋体"/>
          <w:sz w:val="24"/>
          <w:szCs w:val="24"/>
          <w:highlight w:val="white"/>
        </w:rPr>
        <w:t xml:space="preserve">。验收时</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甲方按照采购合同的约定对每一项技术、商务要求的履约情况进行确认。验收结束后</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验收小组出具验收书</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列明各项标准的验收情况及项目总体评价</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11.6 验收合格的项目</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甲方将及时报告本级财政部门。</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十二、货物的包装、发运及运输</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12.2使用说明书、质量检验证明书、随配附件和工具以及清单一并附于货物内。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12.4货物在</w:t>
      </w:r>
      <w:r>
        <w:rPr>
          <w:rFonts w:hint="eastAsia" w:ascii="宋体" w:hAnsi="宋体" w:cs="宋体"/>
          <w:sz w:val="24"/>
          <w:szCs w:val="24"/>
          <w:highlight w:val="white"/>
          <w:lang w:val="en-US" w:eastAsia="zh-CN"/>
        </w:rPr>
        <w:t xml:space="preserve">验收合格</w:t>
      </w:r>
      <w:r>
        <w:rPr>
          <w:rFonts w:hint="eastAsia" w:ascii="宋体" w:hAnsi="宋体" w:cs="宋体"/>
          <w:sz w:val="24"/>
          <w:szCs w:val="24"/>
          <w:highlight w:val="white"/>
        </w:rPr>
        <w:t xml:space="preserve">前发生的风险均由乙方负责。</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十三、违约责任</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13.1甲方无正当理由拒收货物的，甲方向乙方偿付拒收货款总值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13.2甲方无故逾期验收和办理货款支付手续的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甲方应按逾期付款总额每日</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向乙方支付违约金。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十四、不可抗力事件处理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14.2不可抗力事件发生后，应立即通知对方，并寄送有关权威机构出具的证明。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14.3不可抗力事件延续120天以上，双方应通过友好协商，确定是否继续履行合同。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十五、解决争议的方法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十六、合同生效及其他</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16.1 合同经双方法定代表人或授权委托代表人签字并加盖单位公章后生效。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16.3 本合同正本一式四份，具有同等法律效力，甲方三份、乙方一份。</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 </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ind w:left="480" w:hanging="480"/>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甲方：江南大学附属医院                  乙方：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地址：无锡市滨湖区和风路 1000 号        地址：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法定代表人或授权代表：                  法定代表人或授权代表：</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                       </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2025年    月   日                       2025年    月   日</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乙方户名：</w:t>
      </w:r>
      <w:r/>
    </w:p>
    <w:p>
      <w:pPr>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                                      乙方开户银行：</w:t>
      </w:r>
      <w:r/>
    </w:p>
    <w:p>
      <w:pPr>
        <w:ind w:firstLine="40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乙方账号：</w:t>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0"/>
        <w:jc w:val="center"/>
        <w:spacing w:line="288" w:lineRule="auto"/>
        <w:rPr>
          <w:rFonts w:hint="eastAsia" w:hAnsi="宋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 </w:t>
      </w: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bookmarkStart w:id="187" w:name="_Toc26554093"/>
      <w:r/>
      <w:bookmarkStart w:id="188" w:name="_Toc49090575"/>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本项目中的</w:t>
      </w:r>
      <w:r>
        <w:rPr>
          <w:rFonts w:hint="eastAsia" w:ascii="宋体" w:hAnsi="宋体"/>
          <w:color w:val="000000" w:themeColor="text1"/>
          <w:sz w:val="24"/>
          <w:szCs w:val="24"/>
          <w:highlight w:val="white"/>
          <w:lang w:val="en-US" w:eastAsia="zh-CN"/>
          <w14:textFill>
            <w14:solidFill>
              <w14:schemeClr w14:val="tx1"/>
            </w14:solidFill>
          </w14:textFill>
        </w:rPr>
        <w:t xml:space="preserve">同位素激光成像系统</w:t>
      </w:r>
      <w:r>
        <w:rPr>
          <w:rFonts w:hint="eastAsia" w:ascii="宋体" w:hAnsi="宋体"/>
          <w:color w:val="000000" w:themeColor="text1"/>
          <w:sz w:val="24"/>
          <w:szCs w:val="24"/>
          <w:highlight w:val="whit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white"/>
          <w:u w:val="single"/>
          <w14:textFill>
            <w14:solidFill>
              <w14:schemeClr w14:val="tx1"/>
            </w14:solidFill>
          </w14:textFill>
        </w:rPr>
        <w:t xml:space="preserve">（须体现所投产品品牌型号）</w:t>
      </w:r>
      <w:r>
        <w:rPr>
          <w:rFonts w:hint="eastAsia" w:ascii="宋体" w:hAnsi="宋体"/>
          <w:color w:val="000000" w:themeColor="text1"/>
          <w:sz w:val="24"/>
          <w:szCs w:val="24"/>
          <w:highlight w:val="white"/>
          <w:u w:val="single"/>
          <w14:textFill>
            <w14:solidFill>
              <w14:schemeClr w14:val="tx1"/>
            </w14:solidFill>
          </w14:textFill>
        </w:rPr>
        <w:t xml:space="preserve">等），未提供技术支持资料或提供的技术支持资料不能佐证偏离表内容的，评审时不予认可。</w:t>
      </w:r>
      <w:r/>
    </w:p>
    <w:p>
      <w:pPr>
        <w:ind w:firstLine="602"/>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439"/>
        <w:gridCol w:w="1000"/>
        <w:gridCol w:w="882"/>
      </w:tblGrid>
      <w:tr>
        <w:trPr>
          <w:jc w:val="center"/>
          <w:trHeight w:val="642"/>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序号</w:t>
            </w:r>
            <w:r/>
          </w:p>
        </w:tc>
        <w:tc>
          <w:tcPr>
            <w:tcW w:w="343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名称</w:t>
            </w:r>
            <w:r/>
          </w:p>
        </w:tc>
        <w:tc>
          <w:tcPr>
            <w:tcW w:w="100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单位</w:t>
            </w:r>
            <w:r/>
          </w:p>
        </w:tc>
        <w:tc>
          <w:tcPr>
            <w:tcW w:w="882"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数量</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1</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同位素激光成像系统主机</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2</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Times New Roman"/>
                <w:color w:val="auto"/>
                <w:sz w:val="24"/>
                <w:szCs w:val="24"/>
                <w:lang w:eastAsia="zh-CN"/>
              </w:rPr>
              <w:t xml:space="preserve">激光光源</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ascii="宋体" w:hAnsi="宋体" w:cstheme="minorEastAsia"/>
                <w:color w:val="auto"/>
                <w:sz w:val="24"/>
                <w:szCs w:val="24"/>
              </w:rPr>
              <w:t xml:space="preserve">3</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滤光片及滤光片架</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4</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eastAsia="宋体" w:cs="Times New Roman"/>
                <w:color w:val="auto"/>
                <w:sz w:val="24"/>
                <w:szCs w:val="24"/>
                <w:lang w:eastAsia="zh-CN"/>
              </w:rPr>
              <w:t xml:space="preserve">检测器</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5</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rPr>
            </w:pPr>
            <w:r>
              <w:rPr>
                <w:rFonts w:hint="eastAsia" w:ascii="宋体" w:hAnsi="宋体" w:eastAsia="宋体"/>
                <w:color w:val="auto"/>
                <w:sz w:val="24"/>
                <w:szCs w:val="24"/>
              </w:rPr>
              <w:t xml:space="preserve">磷屏</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6</w:t>
            </w:r>
            <w:r/>
          </w:p>
        </w:tc>
        <w:tc>
          <w:tcPr>
            <w:shd w:val="clear" w:color="auto" w:fill="auto"/>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rPr>
              <w:t xml:space="preserve">控制软件</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7</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工作站</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bl>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none"/>
          <w:u w:val="none"/>
          <w14:textFill>
            <w14:solidFill>
              <w14:schemeClr w14:val="tx1"/>
            </w14:solidFill>
          </w14:textFill>
        </w:rPr>
        <w:t xml:space="preserve">     </w:t>
      </w:r>
      <w:r>
        <w:rPr>
          <w:rFonts w:hint="eastAsia" w:ascii="宋体" w:hAnsi="宋体"/>
          <w:bCs/>
          <w:color w:val="000000" w:themeColor="text1"/>
          <w:sz w:val="24"/>
          <w:szCs w:val="24"/>
          <w:highlight w:val="white"/>
          <w:u w:val="single"/>
          <w14:textFill>
            <w14:solidFill>
              <w14:schemeClr w14:val="tx1"/>
            </w14:solidFill>
          </w14:textFill>
        </w:rPr>
        <w:t xml:space="preserve">★二、技术参数：</w:t>
      </w:r>
      <w:r/>
    </w:p>
    <w:p>
      <w:pPr>
        <w:pStyle w:val="811"/>
        <w:numPr>
          <w:ilvl w:val="0"/>
          <w:numId w:val="5"/>
        </w:numPr>
        <w:spacing w:before="156" w:after="156" w:line="360" w:lineRule="auto"/>
        <w:rPr>
          <w:rFonts w:hint="eastAsia" w:ascii="宋体" w:hAnsi="宋体" w:eastAsia="宋体" w:cs="Times New Roman"/>
          <w:color w:val="0000ff"/>
          <w:sz w:val="24"/>
          <w:szCs w:val="24"/>
          <w:lang w:eastAsia="zh-CN"/>
        </w:rPr>
      </w:pPr>
      <w:r>
        <w:rPr>
          <w:rFonts w:hint="eastAsia" w:ascii="宋体" w:hAnsi="宋体" w:eastAsia="宋体" w:cs="Times New Roman"/>
          <w:color w:val="auto"/>
          <w:sz w:val="24"/>
          <w:szCs w:val="24"/>
          <w:lang w:val="en-US" w:eastAsia="zh-CN"/>
        </w:rPr>
        <w:t xml:space="preserve">适用范围：用于样本放射自显影检测，包括同位素标记检测及其它电离辐射检测</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激光光源波长：635nm</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检测模式：同位素磷屏成像</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检测器：PMT光电倍增管</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分辨率：最高分高辨率≤10μm</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扫描模式：正常扫描、慢扫</w:t>
      </w:r>
      <w:r/>
    </w:p>
    <w:p>
      <w:pPr>
        <w:pStyle w:val="811"/>
        <w:numPr>
          <w:ilvl w:val="0"/>
          <w:numId w:val="5"/>
        </w:numPr>
        <w:spacing w:before="156" w:after="156" w:line="360" w:lineRule="auto"/>
        <w:rPr>
          <w:rFonts w:hint="eastAsia" w:ascii="宋体" w:hAnsi="宋体"/>
          <w:bCs/>
          <w:color w:val="auto"/>
          <w:sz w:val="24"/>
          <w:szCs w:val="24"/>
          <w:highlight w:val="none"/>
          <w:u w:val="single"/>
        </w:rPr>
      </w:pPr>
      <w:r>
        <w:rPr>
          <w:rFonts w:hint="eastAsia" w:ascii="宋体" w:hAnsi="宋体" w:eastAsia="宋体" w:cs="Times New Roman"/>
          <w:color w:val="auto"/>
          <w:sz w:val="24"/>
          <w:szCs w:val="24"/>
          <w:lang w:eastAsia="zh-CN"/>
        </w:rPr>
        <w:t xml:space="preserve">可检测同位素：</w:t>
      </w:r>
      <w:r>
        <w:rPr>
          <w:rFonts w:hint="eastAsia" w:ascii="宋体" w:hAnsi="宋体" w:eastAsia="宋体" w:cs="Times New Roman"/>
          <w:color w:val="auto"/>
          <w:sz w:val="30"/>
          <w:szCs w:val="30"/>
          <w:vertAlign w:val="superscript"/>
          <w:lang w:eastAsia="zh-CN"/>
        </w:rPr>
        <w:t xml:space="preserve">3</w:t>
      </w:r>
      <w:r>
        <w:rPr>
          <w:rFonts w:hint="eastAsia" w:ascii="宋体" w:hAnsi="宋体" w:eastAsia="宋体" w:cs="Times New Roman"/>
          <w:color w:val="auto"/>
          <w:sz w:val="30"/>
          <w:szCs w:val="30"/>
          <w:lang w:eastAsia="zh-CN"/>
        </w:rPr>
        <w:t xml:space="preserve">H，</w:t>
      </w:r>
      <w:r>
        <w:rPr>
          <w:rFonts w:hint="eastAsia" w:ascii="宋体" w:hAnsi="宋体" w:eastAsia="宋体" w:cs="Times New Roman"/>
          <w:color w:val="auto"/>
          <w:sz w:val="30"/>
          <w:szCs w:val="30"/>
          <w:vertAlign w:val="superscript"/>
          <w:lang w:eastAsia="zh-CN"/>
        </w:rPr>
        <w:t xml:space="preserve">14</w:t>
      </w:r>
      <w:r>
        <w:rPr>
          <w:rFonts w:hint="eastAsia" w:ascii="宋体" w:hAnsi="宋体" w:eastAsia="宋体" w:cs="Times New Roman"/>
          <w:color w:val="auto"/>
          <w:sz w:val="30"/>
          <w:szCs w:val="30"/>
          <w:lang w:eastAsia="zh-CN"/>
        </w:rPr>
        <w:t xml:space="preserve">C，</w:t>
      </w:r>
      <w:r>
        <w:rPr>
          <w:rFonts w:hint="eastAsia" w:ascii="宋体" w:hAnsi="宋体" w:eastAsia="宋体" w:cs="Times New Roman"/>
          <w:color w:val="auto"/>
          <w:sz w:val="30"/>
          <w:szCs w:val="30"/>
          <w:vertAlign w:val="superscript"/>
          <w:lang w:eastAsia="zh-CN"/>
        </w:rPr>
        <w:t xml:space="preserve">125</w:t>
      </w:r>
      <w:r>
        <w:rPr>
          <w:rFonts w:hint="eastAsia" w:ascii="宋体" w:hAnsi="宋体" w:eastAsia="宋体" w:cs="Times New Roman"/>
          <w:color w:val="auto"/>
          <w:sz w:val="30"/>
          <w:szCs w:val="30"/>
          <w:lang w:eastAsia="zh-CN"/>
        </w:rPr>
        <w:t xml:space="preserve">I，</w:t>
      </w:r>
      <w:r>
        <w:rPr>
          <w:rFonts w:hint="eastAsia" w:ascii="宋体" w:hAnsi="宋体" w:eastAsia="宋体" w:cs="Times New Roman"/>
          <w:color w:val="auto"/>
          <w:sz w:val="30"/>
          <w:szCs w:val="30"/>
          <w:vertAlign w:val="superscript"/>
          <w:lang w:eastAsia="zh-CN"/>
        </w:rPr>
        <w:t xml:space="preserve">18</w:t>
      </w:r>
      <w:r>
        <w:rPr>
          <w:rFonts w:hint="eastAsia" w:ascii="宋体" w:hAnsi="宋体" w:eastAsia="宋体" w:cs="Times New Roman"/>
          <w:color w:val="auto"/>
          <w:sz w:val="30"/>
          <w:szCs w:val="30"/>
          <w:lang w:eastAsia="zh-CN"/>
        </w:rPr>
        <w:t xml:space="preserve">F，</w:t>
      </w:r>
      <w:r>
        <w:rPr>
          <w:rFonts w:hint="eastAsia" w:ascii="宋体" w:hAnsi="宋体" w:eastAsia="宋体" w:cs="Times New Roman"/>
          <w:color w:val="auto"/>
          <w:sz w:val="30"/>
          <w:szCs w:val="30"/>
          <w:vertAlign w:val="superscript"/>
          <w:lang w:eastAsia="zh-CN"/>
        </w:rPr>
        <w:t xml:space="preserve">32</w:t>
      </w:r>
      <w:r>
        <w:rPr>
          <w:rFonts w:hint="eastAsia" w:ascii="宋体" w:hAnsi="宋体" w:eastAsia="宋体" w:cs="Times New Roman"/>
          <w:color w:val="auto"/>
          <w:sz w:val="30"/>
          <w:szCs w:val="30"/>
          <w:lang w:eastAsia="zh-CN"/>
        </w:rPr>
        <w:t xml:space="preserve">P，</w:t>
      </w:r>
      <w:r>
        <w:rPr>
          <w:rFonts w:hint="eastAsia" w:ascii="宋体" w:hAnsi="宋体" w:eastAsia="宋体" w:cs="Times New Roman"/>
          <w:color w:val="auto"/>
          <w:sz w:val="30"/>
          <w:szCs w:val="30"/>
          <w:vertAlign w:val="superscript"/>
          <w:lang w:eastAsia="zh-CN"/>
        </w:rPr>
        <w:t xml:space="preserve">33</w:t>
      </w:r>
      <w:r>
        <w:rPr>
          <w:rFonts w:hint="eastAsia" w:ascii="宋体" w:hAnsi="宋体" w:eastAsia="宋体" w:cs="Times New Roman"/>
          <w:color w:val="auto"/>
          <w:sz w:val="30"/>
          <w:szCs w:val="30"/>
          <w:lang w:eastAsia="zh-CN"/>
        </w:rPr>
        <w:t xml:space="preserve">P，</w:t>
      </w:r>
      <w:r>
        <w:rPr>
          <w:rFonts w:hint="eastAsia" w:ascii="宋体" w:hAnsi="宋体" w:eastAsia="宋体" w:cs="Times New Roman"/>
          <w:color w:val="auto"/>
          <w:sz w:val="30"/>
          <w:szCs w:val="30"/>
          <w:vertAlign w:val="superscript"/>
          <w:lang w:eastAsia="zh-CN"/>
        </w:rPr>
        <w:t xml:space="preserve">35</w:t>
      </w:r>
      <w:r>
        <w:rPr>
          <w:rFonts w:hint="eastAsia" w:ascii="宋体" w:hAnsi="宋体" w:eastAsia="宋体" w:cs="Times New Roman"/>
          <w:color w:val="auto"/>
          <w:sz w:val="30"/>
          <w:szCs w:val="30"/>
          <w:lang w:eastAsia="zh-CN"/>
        </w:rPr>
        <w:t xml:space="preserve">S，</w:t>
      </w:r>
      <w:r>
        <w:rPr>
          <w:rFonts w:hint="eastAsia" w:ascii="宋体" w:hAnsi="宋体" w:eastAsia="宋体" w:cs="Times New Roman"/>
          <w:color w:val="auto"/>
          <w:sz w:val="30"/>
          <w:szCs w:val="30"/>
          <w:vertAlign w:val="superscript"/>
          <w:lang w:eastAsia="zh-CN"/>
        </w:rPr>
        <w:t xml:space="preserve">99m</w:t>
      </w:r>
      <w:r>
        <w:rPr>
          <w:rFonts w:hint="eastAsia" w:ascii="宋体" w:hAnsi="宋体" w:eastAsia="宋体" w:cs="Times New Roman"/>
          <w:color w:val="auto"/>
          <w:sz w:val="30"/>
          <w:szCs w:val="30"/>
          <w:lang w:eastAsia="zh-CN"/>
        </w:rPr>
        <w:t xml:space="preserve">Tc</w:t>
      </w:r>
      <w:r/>
    </w:p>
    <w:p>
      <w:pPr>
        <w:pStyle w:val="811"/>
        <w:numPr>
          <w:ilvl w:val="0"/>
          <w:numId w:val="5"/>
        </w:numPr>
        <w:spacing w:before="156" w:after="156" w:line="360" w:lineRule="auto"/>
        <w:rPr>
          <w:rFonts w:hint="eastAsia" w:ascii="宋体" w:hAnsi="宋体"/>
          <w:bCs/>
          <w:color w:val="auto"/>
          <w:sz w:val="24"/>
          <w:szCs w:val="24"/>
          <w:highlight w:val="none"/>
          <w:u w:val="single"/>
        </w:rPr>
      </w:pPr>
      <w:r>
        <w:rPr>
          <w:rFonts w:hint="eastAsia" w:ascii="宋体" w:hAnsi="宋体" w:eastAsia="宋体" w:cs="Times New Roman"/>
          <w:color w:val="auto"/>
          <w:sz w:val="24"/>
          <w:szCs w:val="24"/>
          <w:lang w:eastAsia="zh-CN"/>
        </w:rPr>
        <w:t xml:space="preserve">采用封闭式箱式设计，防止辐射风险</w:t>
      </w:r>
      <w:r/>
    </w:p>
    <w:p>
      <w:pPr>
        <w:pStyle w:val="811"/>
        <w:numPr>
          <w:ilvl w:val="0"/>
          <w:numId w:val="0"/>
        </w:numPr>
        <w:ind w:left="400" w:firstLine="240"/>
        <w:spacing w:before="156" w:after="156"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★三、商务需求：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2.交货时间：合同生效之日起</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highlight w:val="white"/>
          <w:lang w:eastAsia="zh-CN"/>
          <w14:textFill>
            <w14:solidFill>
              <w14:schemeClr w14:val="tx1"/>
            </w14:solidFill>
          </w14:textFill>
        </w:rPr>
        <w:t xml:space="preserve">的其他指标</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 装箱单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若为进口产品，供方需要提供进口商品检验检疫证明和报关单</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使用说明书及操作手册（电子版、纸质版同时提供）</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 单价10万元以上的设备需提供设备操作、保养的视频资料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6.运输及到货地点：由供方负责办理运输及装卸，直接送至需方指定地点，所有费用由供方承担。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安装、调试过程所需耗品应由供方免费提供</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，保证培训人员正常操作该设备的各种功能。供方提供设备操作规范张贴设备上，提供设备操作规范电子档交于医院。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white"/>
          <w:lang w:eastAsia="zh-CN"/>
          <w14:textFill>
            <w14:solidFill>
              <w14:schemeClr w14:val="tx1"/>
            </w14:solidFill>
          </w14:textFill>
        </w:rPr>
        <w:t xml:space="preserve">承诺</w:t>
      </w:r>
      <w:r>
        <w:rPr>
          <w:rFonts w:hint="eastAsia" w:ascii="宋体" w:hAnsi="宋体"/>
          <w:bCs/>
          <w:color w:val="000000" w:themeColor="text1"/>
          <w:sz w:val="24"/>
          <w:szCs w:val="24"/>
          <w:highlight w:val="whit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white"/>
          <w:lang w:val="en-US" w:eastAsia="zh-CN"/>
          <w14:textFill>
            <w14:solidFill>
              <w14:schemeClr w14:val="tx1"/>
            </w14:solidFill>
          </w14:textFill>
        </w:rPr>
        <w:t xml:space="preserve">10</w:t>
      </w:r>
      <w:r>
        <w:rPr>
          <w:rFonts w:hint="eastAsia" w:ascii="宋体" w:hAnsi="宋体"/>
          <w:bCs/>
          <w:color w:val="000000" w:themeColor="text1"/>
          <w:sz w:val="24"/>
          <w:szCs w:val="24"/>
          <w:highlight w:val="white"/>
          <w14:textFill>
            <w14:solidFill>
              <w14:schemeClr w14:val="tx1"/>
            </w14:solidFill>
          </w14:textFill>
        </w:rPr>
        <w:t xml:space="preserve">年），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whit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w:t>
      </w:r>
      <w:r>
        <w:rPr>
          <w:rFonts w:hint="eastAsia" w:ascii="宋体" w:hAnsi="宋体"/>
          <w:bCs/>
          <w:color w:val="000000" w:themeColor="text1"/>
          <w:sz w:val="24"/>
          <w:highlight w:val="whit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bookmarkStart w:id="189"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  评标方法</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white"/>
          <w:shd w:val="clear" w:color="ffffff" w:fill="d9d9d9"/>
          <w14:textFill>
            <w14:solidFill>
              <w14:schemeClr w14:val="tx1"/>
            </w14:solidFill>
          </w14:textFill>
        </w:rPr>
      </w:pPr>
      <w:r>
        <w:rPr>
          <w:rFonts w:cs="Arial"/>
          <w:color w:val="000000" w:themeColor="text1"/>
          <w:highlight w:val="white"/>
          <w:shd w:val="clear" w:color="ffffff" w:fill="d9d9d9"/>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    </w:t>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  评标标准</w:t>
      </w:r>
      <w:r/>
    </w:p>
    <w:p>
      <w:pPr>
        <w:pStyle w:val="1035"/>
        <w:ind w:firstLine="562"/>
        <w:spacing w:before="0" w:after="0" w:line="500" w:lineRule="exact"/>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rPr>
          <w:color w:val="000000" w:themeColor="text1"/>
          <w:highlight w:val="white"/>
          <w14:textFill>
            <w14:solidFill>
              <w14:schemeClr w14:val="tx1"/>
            </w14:solidFill>
          </w14:textFill>
        </w:rPr>
      </w:r>
      <w:r/>
    </w:p>
    <w:p>
      <w:pPr>
        <w:pStyle w:val="1035"/>
        <w:ind w:firstLine="281"/>
        <w:spacing w:before="0" w:after="0" w:line="500" w:lineRule="exact"/>
        <w:rPr>
          <w:rFonts w:hint="eastAsia" w:ascii="宋体" w:hAnsi="宋体"/>
          <w:b/>
          <w:bCs/>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1.价格（40分）</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bookmarkStart w:id="190" w:name="_Hlk177222559"/>
      <w:r>
        <w:rPr>
          <w:rFonts w:hint="eastAsia" w:ascii="宋体" w:hAnsi="宋体"/>
          <w:bCs/>
          <w:color w:val="000000" w:themeColor="text1"/>
          <w:sz w:val="24"/>
          <w:szCs w:val="24"/>
          <w:highlight w:val="whit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投标报价得分=（评标基准价/投标报价）×价格权重分（保留两位小数</w:t>
      </w:r>
      <w:r>
        <w:rPr>
          <w:highlight w:val="white"/>
        </w:rPr>
        <w:t xml:space="preserve">）</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0"/>
        <w:jc w:val="left"/>
        <w:spacing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w:t>
      </w:r>
      <w:r>
        <w:rPr>
          <w:rFonts w:hint="eastAsia" w:ascii="宋体" w:hAnsi="宋体"/>
          <w:b/>
          <w:bCs/>
          <w:color w:val="000000" w:themeColor="text1"/>
          <w:sz w:val="24"/>
          <w:szCs w:val="24"/>
          <w:highlight w:val="none"/>
          <w14:textFill>
            <w14:solidFill>
              <w14:schemeClr w14:val="tx1"/>
            </w14:solidFill>
          </w14:textFill>
        </w:rPr>
        <w:t xml:space="preserve">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31"/>
        <w:tblW w:w="9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7242"/>
        <w:gridCol w:w="708"/>
        <w:gridCol w:w="708"/>
      </w:tblGrid>
      <w:tr>
        <w:trPr>
          <w:jc w:val="center"/>
          <w:trHeight w:val="23"/>
        </w:trPr>
        <w:tc>
          <w:tcPr>
            <w:tcW w:w="740"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序号</w:t>
            </w:r>
            <w:r/>
          </w:p>
        </w:tc>
        <w:tc>
          <w:tcPr>
            <w:tcW w:w="7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技术评分标准</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评分下限</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评分上限</w:t>
            </w:r>
            <w:r/>
          </w:p>
        </w:tc>
      </w:tr>
      <w:tr>
        <w:trPr>
          <w:jc w:val="center"/>
          <w:trHeight w:val="23"/>
        </w:trPr>
        <w:tc>
          <w:tcPr>
            <w:tcW w:w="74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1</w:t>
            </w:r>
            <w:r/>
          </w:p>
        </w:tc>
        <w:tc>
          <w:tcPr>
            <w:tcW w:w="7242"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bCs/>
                <w:color w:val="auto"/>
                <w:sz w:val="24"/>
                <w:szCs w:val="24"/>
              </w:rPr>
              <w:t xml:space="preserve">可升级RGB和双色近红外检测模块，满足一个得2分，最高得4分</w:t>
            </w:r>
            <w:r>
              <w:rPr>
                <w:rFonts w:hint="eastAsia" w:ascii="宋体" w:hAnsi="宋体"/>
                <w:color w:val="auto"/>
                <w:sz w:val="24"/>
                <w:szCs w:val="24"/>
              </w:rPr>
              <w:t xml:space="preserve">，其他不得分</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Height w:val="23"/>
        </w:trPr>
        <w:tc>
          <w:tcPr>
            <w:tcW w:w="74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2</w:t>
            </w:r>
            <w:r/>
          </w:p>
        </w:tc>
        <w:tc>
          <w:tcPr>
            <w:tcW w:w="7242"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rPr>
              <w:t xml:space="preserve">配备附件：清屏</w:t>
            </w:r>
            <w:r>
              <w:rPr>
                <w:rFonts w:hint="eastAsia" w:ascii="宋体" w:hAnsi="宋体"/>
                <w:color w:val="auto"/>
                <w:sz w:val="24"/>
                <w:szCs w:val="24"/>
                <w:lang w:val="en-US" w:eastAsia="zh-CN"/>
              </w:rPr>
              <w:t xml:space="preserve">仪</w:t>
            </w:r>
            <w:r>
              <w:rPr>
                <w:rFonts w:hint="eastAsia" w:ascii="宋体" w:hAnsi="宋体"/>
                <w:color w:val="auto"/>
                <w:sz w:val="24"/>
                <w:szCs w:val="24"/>
              </w:rPr>
              <w:t xml:space="preserve">、压片盒，满足一个得2分，最高得4分</w:t>
            </w:r>
            <w:r>
              <w:rPr>
                <w:rFonts w:hint="eastAsia" w:ascii="宋体" w:hAnsi="宋体"/>
                <w:color w:val="auto"/>
                <w:sz w:val="24"/>
                <w:szCs w:val="24"/>
                <w:lang w:eastAsia="zh-CN"/>
              </w:rPr>
              <w:t xml:space="preserve">，</w:t>
            </w:r>
            <w:r>
              <w:rPr>
                <w:rFonts w:hint="eastAsia" w:ascii="宋体" w:hAnsi="宋体"/>
                <w:color w:val="auto"/>
                <w:sz w:val="24"/>
                <w:szCs w:val="24"/>
              </w:rPr>
              <w:t xml:space="preserve">其他不得分</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4</w:t>
            </w:r>
            <w:r/>
          </w:p>
        </w:tc>
      </w:tr>
      <w:tr>
        <w:trPr>
          <w:jc w:val="center"/>
          <w:trHeight w:val="686"/>
        </w:trPr>
        <w:tc>
          <w:tcPr>
            <w:tcW w:w="74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p>
        </w:tc>
        <w:tc>
          <w:tcPr>
            <w:tcW w:w="7242"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具备设备同品牌多功能成像扫描分析软件</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得4分</w:t>
            </w:r>
            <w:r>
              <w:rPr>
                <w:rFonts w:hint="eastAsia" w:ascii="宋体" w:hAnsi="宋体"/>
                <w:color w:val="auto"/>
                <w:sz w:val="24"/>
                <w:szCs w:val="24"/>
                <w:lang w:eastAsia="zh-CN"/>
              </w:rPr>
              <w:t xml:space="preserve">，</w:t>
            </w:r>
            <w:r>
              <w:rPr>
                <w:rFonts w:hint="eastAsia" w:ascii="宋体" w:hAnsi="宋体"/>
                <w:color w:val="auto"/>
                <w:sz w:val="24"/>
                <w:szCs w:val="24"/>
              </w:rPr>
              <w:t xml:space="preserve">其他不得分</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Height w:val="23"/>
        </w:trPr>
        <w:tc>
          <w:tcPr>
            <w:tcW w:w="74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4</w:t>
            </w:r>
            <w:r/>
          </w:p>
        </w:tc>
        <w:tc>
          <w:tcPr>
            <w:tcW w:w="7242"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磷屏：可选类型≥4种，包含通用型磷屏、高分辨率磷屏、</w:t>
            </w:r>
            <w:r>
              <w:rPr>
                <w:rFonts w:hint="eastAsia" w:ascii="宋体" w:hAnsi="宋体" w:eastAsia="宋体"/>
                <w:color w:val="auto"/>
                <w:sz w:val="30"/>
                <w:szCs w:val="30"/>
                <w:vertAlign w:val="superscript"/>
              </w:rPr>
              <w:t xml:space="preserve">3</w:t>
            </w:r>
            <w:r>
              <w:rPr>
                <w:rFonts w:hint="eastAsia" w:ascii="宋体" w:hAnsi="宋体" w:eastAsia="宋体"/>
                <w:color w:val="auto"/>
                <w:sz w:val="30"/>
                <w:szCs w:val="30"/>
              </w:rPr>
              <w:t xml:space="preserve">H</w:t>
            </w:r>
            <w:r>
              <w:rPr>
                <w:rFonts w:hint="eastAsia" w:ascii="宋体" w:hAnsi="宋体" w:eastAsia="宋体"/>
                <w:color w:val="auto"/>
                <w:sz w:val="24"/>
                <w:szCs w:val="24"/>
              </w:rPr>
              <w:t xml:space="preserve">屏、中子屏，得</w:t>
            </w:r>
            <w:r>
              <w:rPr>
                <w:rFonts w:hint="eastAsia" w:ascii="宋体" w:hAnsi="宋体"/>
                <w:color w:val="auto"/>
                <w:sz w:val="24"/>
                <w:szCs w:val="24"/>
                <w:lang w:val="en-US" w:eastAsia="zh-CN"/>
              </w:rPr>
              <w:t xml:space="preserve">4</w:t>
            </w:r>
            <w:r>
              <w:rPr>
                <w:rFonts w:hint="eastAsia" w:ascii="宋体" w:hAnsi="宋体" w:eastAsia="宋体"/>
                <w:color w:val="auto"/>
                <w:sz w:val="24"/>
                <w:szCs w:val="24"/>
              </w:rPr>
              <w:t xml:space="preserve">分</w:t>
            </w:r>
            <w:r>
              <w:rPr>
                <w:rFonts w:hint="eastAsia" w:ascii="宋体" w:hAnsi="宋体"/>
                <w:color w:val="auto"/>
                <w:sz w:val="24"/>
                <w:szCs w:val="24"/>
              </w:rPr>
              <w:t xml:space="preserve">，其他不得分</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Height w:val="23"/>
        </w:trPr>
        <w:tc>
          <w:tcPr>
            <w:tcW w:w="74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5</w:t>
            </w:r>
            <w:r/>
          </w:p>
        </w:tc>
        <w:tc>
          <w:tcPr>
            <w:tcW w:w="7242"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成像操作选择模式：自动、半自动和手动，满足一个得2分，最高得6分，其他不得分</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6</w:t>
            </w:r>
            <w:r/>
          </w:p>
        </w:tc>
      </w:tr>
      <w:tr>
        <w:trPr>
          <w:jc w:val="center"/>
          <w:trHeight w:val="538"/>
        </w:trPr>
        <w:tc>
          <w:tcPr>
            <w:tcW w:w="74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6</w:t>
            </w:r>
            <w:r/>
          </w:p>
        </w:tc>
        <w:tc>
          <w:tcPr>
            <w:tcW w:w="7242"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rPr>
              <w:t xml:space="preserve">具备可拆卸成像平台，有效防止交叉污染</w:t>
            </w:r>
            <w:r>
              <w:rPr>
                <w:rFonts w:hint="eastAsia" w:ascii="宋体" w:hAnsi="宋体"/>
                <w:color w:val="auto"/>
                <w:sz w:val="24"/>
                <w:szCs w:val="24"/>
                <w:lang w:eastAsia="zh-CN"/>
              </w:rPr>
              <w:t xml:space="preserve">，</w:t>
            </w:r>
            <w:r>
              <w:rPr>
                <w:rFonts w:hint="eastAsia" w:ascii="宋体" w:hAnsi="宋体"/>
                <w:color w:val="auto"/>
                <w:sz w:val="24"/>
                <w:szCs w:val="24"/>
              </w:rPr>
              <w:t xml:space="preserve">得</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分</w:t>
            </w:r>
            <w:r>
              <w:rPr>
                <w:rFonts w:hint="eastAsia" w:ascii="宋体" w:hAnsi="宋体" w:eastAsia="宋体"/>
                <w:color w:val="auto"/>
                <w:sz w:val="24"/>
                <w:szCs w:val="24"/>
              </w:rPr>
              <w:t xml:space="preserve">，其他不得分</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3</w:t>
            </w:r>
            <w:r/>
          </w:p>
        </w:tc>
      </w:tr>
      <w:tr>
        <w:trPr>
          <w:jc w:val="center"/>
          <w:trHeight w:val="691"/>
        </w:trPr>
        <w:tc>
          <w:tcPr>
            <w:tcW w:w="74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7</w:t>
            </w:r>
            <w:r/>
          </w:p>
        </w:tc>
        <w:tc>
          <w:tcPr>
            <w:tcW w:w="7242"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扫描面积：≥29cm×42cm，得3分；达到：≥35cm×43cm，得6分，</w:t>
            </w:r>
            <w:r>
              <w:rPr>
                <w:rFonts w:hint="eastAsia" w:ascii="宋体" w:hAnsi="宋体"/>
                <w:color w:val="auto"/>
                <w:sz w:val="24"/>
                <w:szCs w:val="24"/>
              </w:rPr>
              <w:t xml:space="preserve">其他不得分</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6</w:t>
            </w:r>
            <w:r/>
          </w:p>
        </w:tc>
      </w:tr>
      <w:tr>
        <w:trPr>
          <w:jc w:val="center"/>
          <w:trHeight w:val="585"/>
        </w:trPr>
        <w:tc>
          <w:tcPr>
            <w:tcW w:w="74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724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扫描速度：≤2分钟，得3分</w:t>
            </w:r>
            <w:r>
              <w:rPr>
                <w:rFonts w:hint="eastAsia" w:ascii="宋体" w:hAnsi="宋体"/>
                <w:color w:val="auto"/>
                <w:sz w:val="24"/>
                <w:szCs w:val="24"/>
              </w:rPr>
              <w:t xml:space="preserve">，其他不得分</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Height w:val="506"/>
        </w:trPr>
        <w:tc>
          <w:tcPr>
            <w:tcW w:w="74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9</w:t>
            </w:r>
            <w:r/>
          </w:p>
        </w:tc>
        <w:tc>
          <w:tcPr>
            <w:tcW w:w="724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动态范围：＞5个数量级，得3分</w:t>
            </w:r>
            <w:r>
              <w:rPr>
                <w:rFonts w:hint="eastAsia" w:ascii="宋体" w:hAnsi="宋体"/>
                <w:color w:val="auto"/>
                <w:sz w:val="24"/>
                <w:szCs w:val="24"/>
              </w:rPr>
              <w:t xml:space="preserve">，其他不得分</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Height w:val="564"/>
        </w:trPr>
        <w:tc>
          <w:tcPr>
            <w:tcW w:w="74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724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图像格式：≥16位，得3分</w:t>
            </w:r>
            <w:r>
              <w:rPr>
                <w:rFonts w:hint="eastAsia" w:ascii="宋体" w:hAnsi="宋体"/>
                <w:color w:val="auto"/>
                <w:sz w:val="24"/>
                <w:szCs w:val="24"/>
              </w:rPr>
              <w:t xml:space="preserve">，其他不得分</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bl>
    <w:p>
      <w:pPr>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w:t>
      </w:r>
      <w:r>
        <w:rPr>
          <w:rFonts w:hint="eastAsia"/>
          <w:color w:val="000000" w:themeColor="text1"/>
          <w:highlight w:val="white"/>
          <w14:textFill>
            <w14:solidFill>
              <w14:schemeClr w14:val="tx1"/>
            </w14:solidFill>
          </w14:textFill>
        </w:rPr>
        <w:t xml:space="preserve"> </w:t>
      </w:r>
      <w:r>
        <w:rPr>
          <w:rFonts w:hint="eastAsia" w:ascii="宋体" w:hAnsi="宋体"/>
          <w:b/>
          <w:bCs/>
          <w:color w:val="000000" w:themeColor="text1"/>
          <w:sz w:val="24"/>
          <w:szCs w:val="24"/>
          <w:highlight w:val="white"/>
          <w14:textFill>
            <w14:solidFill>
              <w14:schemeClr w14:val="tx1"/>
            </w14:solidFill>
          </w14:textFill>
        </w:rPr>
        <w:t xml:space="preserve">商务（20分）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3.1 </w:t>
      </w:r>
      <w:r>
        <w:rPr>
          <w:rFonts w:hint="eastAsia" w:ascii="宋体" w:hAnsi="宋体"/>
          <w:bCs/>
          <w:color w:val="000000" w:themeColor="text1"/>
          <w:sz w:val="24"/>
          <w:szCs w:val="24"/>
          <w:highlight w:val="white"/>
          <w14:textFill>
            <w14:solidFill>
              <w14:schemeClr w14:val="tx1"/>
            </w14:solidFill>
          </w14:textFill>
        </w:rPr>
        <w:t xml:space="preserve">质保期（3分）：以原厂免费质保</w:t>
      </w:r>
      <w:r>
        <w:rPr>
          <w:rFonts w:hint="eastAsia" w:ascii="宋体" w:hAnsi="宋体"/>
          <w:bCs/>
          <w:color w:val="000000" w:themeColor="text1"/>
          <w:sz w:val="24"/>
          <w:szCs w:val="24"/>
          <w:highlight w:val="white"/>
          <w:lang w:val="en-US" w:eastAsia="zh-CN"/>
          <w14:textFill>
            <w14:solidFill>
              <w14:schemeClr w14:val="tx1"/>
            </w14:solidFill>
          </w14:textFill>
        </w:rPr>
        <w:t xml:space="preserve">3</w:t>
      </w:r>
      <w:r>
        <w:rPr>
          <w:rFonts w:hint="eastAsia" w:ascii="宋体" w:hAnsi="宋体"/>
          <w:bCs/>
          <w:color w:val="000000" w:themeColor="text1"/>
          <w:sz w:val="24"/>
          <w:szCs w:val="24"/>
          <w:highlight w:val="white"/>
          <w14:textFill>
            <w14:solidFill>
              <w14:schemeClr w14:val="tx1"/>
            </w14:solidFill>
          </w14:textFill>
        </w:rPr>
        <w:t xml:space="preserve">年为基准，每增加一年得1分，最多不超过3分。</w:t>
      </w:r>
      <w:r>
        <w:rPr>
          <w:rFonts w:hint="eastAsia" w:ascii="宋体" w:hAnsi="宋体"/>
          <w:bCs/>
          <w:color w:val="000000" w:themeColor="text1"/>
          <w:sz w:val="24"/>
          <w:szCs w:val="24"/>
          <w:highlight w:val="white"/>
          <w14:textFill>
            <w14:solidFill>
              <w14:schemeClr w14:val="tx1"/>
            </w14:solidFill>
          </w14:textFill>
        </w:rPr>
        <w:t xml:space="preserve">提供生产厂家出具的《质量保证及售后服务承诺书》（给定格式），扫描件并加盖投标人电子公章，所投若为进口设备，则由国内总代理出具。</w:t>
      </w:r>
      <w:bookmarkStart w:id="202" w:name="_GoBack"/>
      <w:r/>
      <w:bookmarkEnd w:id="202"/>
      <w:r/>
      <w:r/>
    </w:p>
    <w:p>
      <w:pPr>
        <w:ind w:firstLine="480"/>
        <w:jc w:val="left"/>
        <w:keepLines w:val="0"/>
        <w:keepNext w:val="0"/>
        <w:pageBreakBefore w:val="0"/>
        <w:spacing w:line="360" w:lineRule="auto"/>
        <w:widowControl w:val="off"/>
        <w:rPr>
          <w:rFonts w:hint="default" w:ascii="宋体" w:hAnsi="宋体" w:eastAsia="宋体"/>
          <w:bCs/>
          <w:color w:val="000000" w:themeColor="text1"/>
          <w:sz w:val="24"/>
          <w:szCs w:val="24"/>
          <w:highlight w:val="white"/>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3.2 备用机（2分）：若设备出现故障，24小时内无法解决的，承诺提供备用机得2分，不提供不得分。（提供备用机承诺书，格式自拟，并加盖投标人电子公章）</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3.3 </w:t>
      </w:r>
      <w:r>
        <w:rPr>
          <w:rFonts w:hint="eastAsia" w:ascii="宋体" w:hAnsi="宋体"/>
          <w:bCs/>
          <w:color w:val="000000" w:themeColor="text1"/>
          <w:sz w:val="24"/>
          <w:szCs w:val="24"/>
          <w:highlight w:val="white"/>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共6项，最高得6分。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3.4</w:t>
      </w:r>
      <w:r>
        <w:rPr>
          <w:rFonts w:hint="eastAsia" w:ascii="宋体" w:hAnsi="宋体"/>
          <w:bCs/>
          <w:color w:val="000000" w:themeColor="text1"/>
          <w:sz w:val="24"/>
          <w:szCs w:val="24"/>
          <w:highlight w:val="white"/>
          <w14:textFill>
            <w14:solidFill>
              <w14:schemeClr w14:val="tx1"/>
            </w14:solidFill>
          </w14:textFill>
        </w:rPr>
        <w:t xml:space="preserve">服务保障体系（</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分）：投标人保障服务方案的实施而设立的①服务机构、配备的相应服务人员、设施装备，以及相应的服务细则和规范的管理制度，②确保兑现服务承诺、保证服务质量的措施。</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需求，得2分；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单项存在1处瑕疵、漏项，得1分；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项，最高得</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3.5 </w:t>
      </w:r>
      <w:r>
        <w:rPr>
          <w:rFonts w:hint="eastAsia" w:ascii="宋体" w:hAnsi="宋体"/>
          <w:bCs/>
          <w:color w:val="000000" w:themeColor="text1"/>
          <w:sz w:val="24"/>
          <w:szCs w:val="24"/>
          <w:highlight w:val="white"/>
          <w14:textFill>
            <w14:solidFill>
              <w14:schemeClr w14:val="tx1"/>
            </w14:solidFill>
          </w14:textFill>
        </w:rPr>
        <w:t xml:space="preserve">销售业绩及客户评价比较（3分）：从2023年1</w:t>
      </w:r>
      <w:r>
        <w:rPr>
          <w:rFonts w:hint="eastAsia" w:ascii="宋体" w:hAnsi="宋体"/>
          <w:bCs/>
          <w:color w:val="000000" w:themeColor="text1"/>
          <w:sz w:val="24"/>
          <w:szCs w:val="24"/>
          <w:highlight w:val="white"/>
          <w:lang w:eastAsia="zh-CN"/>
          <w14:textFill>
            <w14:solidFill>
              <w14:schemeClr w14:val="tx1"/>
            </w14:solidFill>
          </w14:textFill>
        </w:rPr>
        <w:t xml:space="preserve">月以</w:t>
      </w:r>
      <w:r>
        <w:rPr>
          <w:rFonts w:hint="eastAsia" w:ascii="宋体" w:hAnsi="宋体"/>
          <w:bCs/>
          <w:color w:val="000000" w:themeColor="text1"/>
          <w:sz w:val="24"/>
          <w:szCs w:val="24"/>
          <w:highlight w:val="white"/>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rPr>
          <w:rFonts w:hint="eastAsia" w:ascii="宋体" w:hAnsi="宋体" w:cs="宋体"/>
          <w:color w:val="000000"/>
          <w:sz w:val="24"/>
          <w:szCs w:val="24"/>
          <w:highlight w:val="white"/>
        </w:rPr>
        <w:t xml:space="preserve">合同金额如在50万元以上（含50万元），还须提供</w:t>
      </w:r>
      <w:r>
        <w:rPr>
          <w:rFonts w:hint="eastAsia" w:ascii="宋体" w:hAnsi="宋体" w:cs="宋体"/>
          <w:color w:val="000000"/>
          <w:sz w:val="24"/>
          <w:szCs w:val="24"/>
          <w:highlight w:val="white"/>
          <w:lang w:val="en-US" w:eastAsia="zh-CN"/>
        </w:rPr>
        <w:t xml:space="preserve">中标（成交）页面或</w:t>
      </w:r>
      <w:r>
        <w:rPr>
          <w:rFonts w:hint="eastAsia" w:ascii="宋体" w:hAnsi="宋体" w:cs="宋体"/>
          <w:color w:val="000000"/>
          <w:sz w:val="24"/>
          <w:szCs w:val="24"/>
          <w:highlight w:val="white"/>
        </w:rPr>
        <w:t xml:space="preserve">合同公示页面截图进行佐证。截图内容含公示网站名称或地址、公示日期、完整公示内容。</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3.6 </w:t>
      </w:r>
      <w:r>
        <w:rPr>
          <w:rFonts w:hint="eastAsia" w:ascii="宋体" w:hAnsi="宋体"/>
          <w:bCs/>
          <w:color w:val="000000" w:themeColor="text1"/>
          <w:sz w:val="24"/>
          <w:szCs w:val="24"/>
          <w:highlight w:val="white"/>
          <w14:textFill>
            <w14:solidFill>
              <w14:schemeClr w14:val="tx1"/>
            </w14:solidFill>
          </w14:textFill>
        </w:rPr>
        <w:t xml:space="preserve">政策性因素（2分）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pStyle w:val="735"/>
        <w:ind w:firstLine="0"/>
        <w:rPr>
          <w:highlight w:val="white"/>
        </w:rPr>
      </w:pPr>
      <w:r>
        <w:rPr>
          <w:highlight w:val="white"/>
        </w:rPr>
      </w:r>
      <w:r/>
    </w:p>
    <w:p>
      <w:pPr>
        <w:jc w:val="center"/>
        <w:spacing w:line="500" w:lineRule="exact"/>
        <w:rPr>
          <w:rFonts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cs="Arial"/>
          <w:b/>
          <w:color w:val="000000" w:themeColor="text1"/>
          <w:sz w:val="30"/>
          <w:szCs w:val="30"/>
          <w:highlight w:val="white"/>
          <w14:textFill>
            <w14:solidFill>
              <w14:schemeClr w14:val="tx1"/>
            </w14:solidFill>
          </w14:textFill>
        </w:rPr>
        <w:t xml:space="preserve">第一部分  投标文件内容</w:t>
      </w:r>
      <w:r/>
    </w:p>
    <w:p>
      <w:pPr>
        <w:pStyle w:val="1035"/>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序号</w:t>
            </w:r>
            <w:r/>
          </w:p>
        </w:tc>
        <w:tc>
          <w:tcPr>
            <w:tcW w:w="6104" w:type="dxa"/>
            <w:vAlign w:val="center"/>
            <w:textDirection w:val="lrTb"/>
            <w:noWrap w:val="false"/>
          </w:tcPr>
          <w:p>
            <w:pPr>
              <w:pStyle w:val="1035"/>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244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4"/>
                <w:rFonts w:hint="eastAsia" w:ascii="宋体" w:hAnsi="宋体" w:cs="宋体"/>
                <w:color w:val="000000" w:themeColor="text1"/>
                <w:sz w:val="24"/>
                <w:szCs w:val="24"/>
                <w:highlight w:val="white"/>
                <w14:textFill>
                  <w14:solidFill>
                    <w14:schemeClr w14:val="tx1"/>
                  </w14:solidFill>
                </w14:textFill>
              </w:rPr>
              <w:t xml:space="preserve">。</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8</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本项目要求的特定资格证明</w:t>
            </w:r>
            <w:r>
              <w:rPr>
                <w:rFonts w:hint="eastAsia" w:ascii="宋体" w:hAnsi="宋体" w:cs="宋体"/>
                <w:color w:val="000000" w:themeColor="text1"/>
                <w:highlight w:val="white"/>
                <w14:textFill>
                  <w14:solidFill>
                    <w14:schemeClr w14:val="tx1"/>
                  </w14:solidFill>
                </w14:textFill>
              </w:rPr>
              <w:t xml:space="preserve">文件（</w:t>
            </w:r>
            <w:r>
              <w:rPr>
                <w:rFonts w:hint="eastAsia" w:ascii="宋体" w:hAnsi="宋体" w:cs="宋体"/>
                <w:bCs/>
                <w:color w:val="000000" w:themeColor="text1"/>
                <w:highlight w:val="white"/>
                <w14:textFill>
                  <w14:solidFill>
                    <w14:schemeClr w14:val="tx1"/>
                  </w14:solidFill>
                </w14:textFill>
              </w:rPr>
              <w:t xml:space="preserve">如有</w:t>
            </w:r>
            <w:r>
              <w:rPr>
                <w:rFonts w:hint="eastAsia" w:ascii="宋体" w:hAnsi="宋体" w:cs="宋体"/>
                <w:color w:val="000000" w:themeColor="text1"/>
                <w:highlight w:val="white"/>
                <w14:textFill>
                  <w14:solidFill>
                    <w14:schemeClr w14:val="tx1"/>
                  </w14:solidFill>
                </w14:textFill>
              </w:rPr>
              <w:t xml:space="preserve">）。</w:t>
            </w:r>
            <w:r/>
          </w:p>
        </w:tc>
        <w:tc>
          <w:tcPr>
            <w:tcW w:w="2449" w:type="dxa"/>
            <w:vAlign w:val="center"/>
            <w:textDirection w:val="lrTb"/>
            <w:noWrap w:val="false"/>
          </w:tcPr>
          <w:p>
            <w:pPr>
              <w:pStyle w:val="1035"/>
              <w:ind w:firstLine="0"/>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9</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《联合体协议》（如有，格式自拟）。</w:t>
            </w:r>
            <w:r/>
          </w:p>
        </w:tc>
        <w:tc>
          <w:tcPr>
            <w:tcW w:w="2449" w:type="dxa"/>
            <w:vAlign w:val="center"/>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5"/>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  投标文件格式</w:t>
      </w:r>
      <w:r/>
    </w:p>
    <w:p>
      <w:pPr>
        <w:pStyle w:val="1035"/>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  标  文  件</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JSZC-320200-XWJC-G2025-0130</w:t>
      </w:r>
      <w:r/>
    </w:p>
    <w:p>
      <w:pPr>
        <w:ind w:left="3405" w:hanging="1605"/>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江南大学附属医院同位素激光成像系统项目</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    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rPr>
          <w:rFonts w:hint="eastAsia"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JSZC-320200-XWJC-G2025-0130</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33"/>
        <w:ind w:firstLine="480"/>
        <w:rPr>
          <w:rFonts w:hint="eastAsia"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33"/>
        <w:ind w:firstLine="0"/>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             被授权人签字：</w:t>
      </w:r>
      <w:r>
        <w:rPr>
          <w:rFonts w:hint="eastAsia"/>
          <w:color w:val="000000" w:themeColor="text1"/>
          <w:sz w:val="24"/>
          <w:szCs w:val="24"/>
          <w:highlight w:val="white"/>
          <w:u w:val="single"/>
          <w14:textFill>
            <w14:solidFill>
              <w14:schemeClr w14:val="tx1"/>
            </w14:solidFill>
          </w14:textFill>
        </w:rPr>
        <w:t xml:space="preserve">        </w:t>
      </w:r>
      <w:r/>
    </w:p>
    <w:p>
      <w:pPr>
        <w:pStyle w:val="1033"/>
        <w:ind w:firstLine="0"/>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3"/>
        <w:ind w:firstLine="0"/>
        <w:rPr>
          <w:rFonts w:hint="eastAsia"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JSZC-320200-XWJC-G2025-0130</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 </w:t>
      </w:r>
      <w:r>
        <w:rPr>
          <w:rFonts w:ascii="宋体" w:hAnsi="宋体"/>
          <w:bCs/>
          <w:color w:val="000000" w:themeColor="text1"/>
          <w:sz w:val="24"/>
          <w:szCs w:val="24"/>
          <w:highlight w:val="white"/>
          <w:u w:val="single"/>
          <w14:textFill>
            <w14:solidFill>
              <w14:schemeClr w14:val="tx1"/>
            </w14:solidFill>
          </w14:textFill>
        </w:rPr>
        <w:t xml:space="preserve">（标的名称）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 （标的名称）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JSZC-320200-XWJC-G2025-0130</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2"/>
          <w:rFonts w:hint="eastAsia"/>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；传真：</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JSZC-320200-XWJC-G2025-0130</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US" w:eastAsia="zh-CN"/>
          <w14:textFill>
            <w14:solidFill>
              <w14:schemeClr w14:val="tx1"/>
            </w14:solidFill>
          </w14:textFill>
        </w:rPr>
        <w:t xml:space="preserve">5</w:t>
      </w:r>
      <w:r>
        <w:rPr>
          <w:rFonts w:hint="eastAsia" w:ascii="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 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JSZC-320200-XWJC-G2025-0130</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1"/>
              <w:jc w:val="center"/>
              <w:spacing w:line="400" w:lineRule="exact"/>
              <w:rPr>
                <w:rFonts w:hint="eastAsia" w:hAnsi="宋体"/>
                <w:bCs/>
                <w:color w:val="000000" w:themeColor="text1"/>
                <w:szCs w:val="24"/>
                <w:highlight w:val="white"/>
                <w14:textFill>
                  <w14:solidFill>
                    <w14:schemeClr w14:val="tx1"/>
                  </w14:solidFill>
                </w14:textFill>
              </w:rPr>
            </w:pPr>
            <w:r>
              <w:rPr>
                <w:rFonts w:hint="eastAsia"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1"/>
              <w:rPr>
                <w:rFonts w:hint="eastAsia" w:hAnsi="宋体"/>
                <w:b/>
                <w:color w:val="000000" w:themeColor="text1"/>
                <w:szCs w:val="24"/>
                <w:highlight w:val="white"/>
                <w14:textFill>
                  <w14:solidFill>
                    <w14:schemeClr w14:val="tx1"/>
                  </w14:solidFill>
                </w14:textFill>
              </w:rPr>
            </w:pPr>
            <w:r>
              <w:rPr>
                <w:rFonts w:hint="eastAsia"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JSZC-320200-XWJC-G2025-0130</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交货完工期： 合同签订生效后</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white"/>
              </w:rPr>
            </w:pPr>
            <w:r>
              <w:rPr>
                <w:rFonts w:hint="eastAsia" w:ascii="宋体" w:hAnsi="宋体"/>
                <w:bCs/>
                <w:color w:val="000000"/>
                <w:sz w:val="24"/>
                <w:szCs w:val="24"/>
                <w:highlight w:val="white"/>
              </w:rPr>
              <w:t xml:space="preserve">总报价：大写                                              小写</w:t>
            </w:r>
            <w:r/>
          </w:p>
        </w:tc>
      </w:tr>
    </w:tbl>
    <w:p>
      <w:pPr>
        <w:spacing w:before="5" w:line="560" w:lineRule="atLeast"/>
        <w:rPr>
          <w:b/>
          <w:bCs/>
          <w:color w:val="000000" w:themeColor="text1"/>
          <w:sz w:val="24"/>
          <w:szCs w:val="24"/>
          <w:highlight w:val="white"/>
          <w14:textFill>
            <w14:solidFill>
              <w14:schemeClr w14:val="tx1"/>
            </w14:solidFill>
          </w14:textFill>
        </w:rPr>
      </w:pPr>
      <w:r>
        <w:rPr>
          <w:b/>
          <w:bCs/>
          <w:color w:val="000000" w:themeColor="text1"/>
          <w:sz w:val="24"/>
          <w:szCs w:val="24"/>
          <w:highlight w:val="white"/>
          <w14:textFill>
            <w14:solidFill>
              <w14:schemeClr w14:val="tx1"/>
            </w14:solidFill>
          </w14:textFill>
        </w:rPr>
      </w:r>
      <w:r/>
    </w:p>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hint="eastAsia" w:ascii="宋体" w:hAnsi="宋体"/>
          <w:b/>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JSZC-320200-XWJC-G2025-0130</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Hlt26955066"/>
      <w:r/>
      <w:bookmarkEnd w:id="198"/>
      <w:r/>
      <w:bookmarkStart w:id="199" w:name="_Hlt26609389"/>
      <w:r/>
      <w:bookmarkEnd w:id="199"/>
      <w:r/>
      <w:bookmarkStart w:id="200" w:name="_Hlt26671374"/>
      <w:r/>
      <w:bookmarkEnd w:id="200"/>
      <w:r/>
      <w:bookmarkStart w:id="201" w:name="_格式2__法定代表人授权书"/>
      <w:r/>
      <w:bookmarkEnd w:id="201"/>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JSZC-320200-XWJC-G2025-0130</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spacing w:line="360" w:lineRule="auto"/>
        <w:rPr>
          <w:b/>
          <w:color w:val="000000"/>
          <w:sz w:val="30"/>
          <w:szCs w:val="30"/>
          <w:highlight w:val="white"/>
        </w:rPr>
      </w:pPr>
      <w:r>
        <w:rPr>
          <w:rFonts w:hint="eastAsia"/>
          <w:b/>
          <w:color w:val="000000"/>
          <w:sz w:val="30"/>
          <w:szCs w:val="30"/>
          <w:highlight w:val="white"/>
        </w:rPr>
        <w:t xml:space="preserve">1.招标文件第四章“采购需求”规定的投标人需要提供的投标产品技术支持材料和其他相关证明文件</w:t>
      </w:r>
      <w:r/>
    </w:p>
    <w:p>
      <w:pPr>
        <w:spacing w:line="360" w:lineRule="auto"/>
        <w:rPr>
          <w:b/>
          <w:color w:val="000000"/>
          <w:sz w:val="30"/>
          <w:szCs w:val="30"/>
          <w:highlight w:val="white"/>
        </w:rPr>
      </w:pPr>
      <w:r>
        <w:rPr>
          <w:b/>
          <w:color w:val="000000"/>
          <w:sz w:val="30"/>
          <w:szCs w:val="30"/>
          <w:highlight w:val="white"/>
        </w:rPr>
      </w:r>
      <w:r/>
    </w:p>
    <w:p>
      <w:pPr>
        <w:spacing w:line="360" w:lineRule="auto"/>
        <w:rPr>
          <w:rFonts w:hint="eastAsia" w:ascii="黑体" w:hAnsi="黑体"/>
          <w:color w:val="000000" w:themeColor="text1"/>
          <w:sz w:val="28"/>
          <w:szCs w:val="28"/>
          <w:highlight w:val="white"/>
          <w14:textFill>
            <w14:solidFill>
              <w14:schemeClr w14:val="tx1"/>
            </w14:solidFill>
          </w14:textFill>
        </w:rPr>
      </w:pPr>
      <w:r>
        <w:rPr>
          <w:rFonts w:hint="eastAsia"/>
          <w:b/>
          <w:color w:val="000000"/>
          <w:sz w:val="30"/>
          <w:szCs w:val="30"/>
          <w:highlight w:val="white"/>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sz w:val="30"/>
          <w:szCs w:val="30"/>
          <w:highlight w:val="white"/>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江南大学附属医院同位素激光成像系统项目</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JSZC-320200-XWJC-G2025-0130</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日接受</w:t>
      </w:r>
      <w:r>
        <w:rPr>
          <w:rFonts w:hint="eastAsia" w:ascii="宋体" w:cs="宋体"/>
          <w:color w:val="000000" w:themeColor="text1"/>
          <w:sz w:val="24"/>
          <w:szCs w:val="24"/>
          <w:highlight w:val="white"/>
          <w:lang w:eastAsia="zh-CN"/>
          <w14:textFill>
            <w14:solidFill>
              <w14:schemeClr w14:val="tx1"/>
            </w14:solidFill>
          </w14:textFill>
        </w:rPr>
        <w:t xml:space="preserve">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560"/>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pStyle w:val="73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投标人名称（盖章）：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日期：</w:t>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372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1502"/>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法定代表人或法定代表人授权代表CA签章：</w:t>
      </w:r>
      <w:r/>
    </w:p>
    <w:p>
      <w:pPr>
        <w:ind w:firstLine="4560"/>
        <w:spacing w:line="360" w:lineRule="auto"/>
        <w:rPr>
          <w:rFonts w:hint="eastAsia" w:ascii="宋体" w:hAnsi="宋体" w:cs="仿宋"/>
          <w:color w:val="000000" w:themeColor="text1"/>
          <w:sz w:val="24"/>
          <w:highlight w:val="white"/>
          <w14:textFill>
            <w14:solidFill>
              <w14:schemeClr w14:val="tx1"/>
            </w14:solidFill>
          </w14:textFill>
        </w:rPr>
      </w:pPr>
      <w:r>
        <w:rPr>
          <w:rFonts w:hint="eastAsia" w:ascii="宋体" w:hAnsi="宋体" w:cs="仿宋"/>
          <w:color w:val="000000" w:themeColor="text1"/>
          <w:sz w:val="24"/>
          <w:highlight w:val="whit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hint="eastAsia"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w:t>
      </w:r>
      <w:r>
        <w:rPr>
          <w:rFonts w:ascii="宋体" w:hAnsi="宋体" w:cs="宋体"/>
          <w:color w:val="000000" w:themeColor="text1"/>
          <w:sz w:val="24"/>
          <w:szCs w:val="24"/>
          <w:highlight w:val="white"/>
          <w14:textFill>
            <w14:solidFill>
              <w14:schemeClr w14:val="tx1"/>
            </w14:solidFill>
          </w14:textFill>
        </w:rPr>
        <w:t xml:space="preserve">厂家法定（授权）代表人： </w:t>
      </w:r>
      <w:r>
        <w:rPr>
          <w:rFonts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26</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7"/>
  </w:num>
  <w:num w:numId="6">
    <w:abstractNumId w:val="5"/>
  </w:num>
  <w:num w:numId="7">
    <w:abstractNumId w:val="6"/>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80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3"/>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5"/>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20"/>
    <w:uiPriority w:val="0"/>
    <w:unhideWhenUsed/>
    <w:qFormat/>
    <w:pPr>
      <w:spacing w:after="120"/>
    </w:pPr>
    <w:rPr>
      <w:rFonts w:ascii="Calibri" w:hAnsi="Calibri"/>
      <w:szCs w:val="22"/>
    </w:rPr>
  </w:style>
  <w:style w:type="paragraph" w:styleId="735">
    <w:name w:val="Body Text Indent"/>
    <w:basedOn w:val="720"/>
    <w:uiPriority w:val="99"/>
    <w:qFormat/>
    <w:pPr>
      <w:ind w:firstLine="576"/>
    </w:pPr>
    <w:rPr>
      <w:sz w:val="20"/>
      <w:szCs w:val="20"/>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Plain Text"/>
    <w:basedOn w:val="720"/>
    <w:uiPriority w:val="0"/>
    <w:qFormat/>
    <w:rPr>
      <w:rFonts w:ascii="宋体" w:hAnsi="Courier New" w:cs="Courier New"/>
    </w:rPr>
  </w:style>
  <w:style w:type="paragraph" w:styleId="739">
    <w:name w:val="toc 8"/>
    <w:basedOn w:val="720"/>
    <w:next w:val="720"/>
    <w:uiPriority w:val="39"/>
    <w:unhideWhenUsed/>
    <w:qFormat/>
    <w:pPr>
      <w:ind w:left="1984"/>
      <w:spacing w:after="57"/>
    </w:pPr>
  </w:style>
  <w:style w:type="paragraph" w:styleId="740">
    <w:name w:val="endnote text"/>
    <w:basedOn w:val="720"/>
    <w:link w:val="948"/>
    <w:uiPriority w:val="99"/>
    <w:semiHidden/>
    <w:unhideWhenUsed/>
    <w:qFormat/>
    <w:rPr>
      <w:sz w:val="20"/>
    </w:rPr>
  </w:style>
  <w:style w:type="paragraph" w:styleId="741">
    <w:name w:val="Footer"/>
    <w:basedOn w:val="720"/>
    <w:link w:val="821"/>
    <w:uiPriority w:val="99"/>
    <w:unhideWhenUsed/>
    <w:qFormat/>
    <w:pPr>
      <w:tabs>
        <w:tab w:val="center" w:pos="7143" w:leader="none"/>
        <w:tab w:val="right" w:pos="14287" w:leader="none"/>
      </w:tabs>
    </w:pPr>
  </w:style>
  <w:style w:type="paragraph" w:styleId="742">
    <w:name w:val="envelope return"/>
    <w:basedOn w:val="720"/>
    <w:uiPriority w:val="0"/>
    <w:qFormat/>
    <w:rPr>
      <w:rFonts w:ascii="Arial" w:hAnsi="Arial" w:eastAsia="楷体_GB2312"/>
      <w:sz w:val="26"/>
      <w:szCs w:val="20"/>
    </w:rPr>
  </w:style>
  <w:style w:type="paragraph" w:styleId="743">
    <w:name w:val="Header"/>
    <w:basedOn w:val="720"/>
    <w:link w:val="819"/>
    <w:uiPriority w:val="99"/>
    <w:unhideWhenUsed/>
    <w:qFormat/>
    <w:pPr>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14"/>
    <w:uiPriority w:val="11"/>
    <w:qFormat/>
    <w:pPr>
      <w:spacing w:before="200" w:after="200"/>
    </w:pPr>
    <w:rPr>
      <w:sz w:val="24"/>
      <w:szCs w:val="24"/>
    </w:rPr>
  </w:style>
  <w:style w:type="paragraph" w:styleId="747">
    <w:name w:val="footnote text"/>
    <w:basedOn w:val="720"/>
    <w:link w:val="947"/>
    <w:uiPriority w:val="99"/>
    <w:semiHidden/>
    <w:unhideWhenUsed/>
    <w:qFormat/>
    <w:pPr>
      <w:spacing w:after="40"/>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20"/>
    <w:next w:val="720"/>
    <w:link w:val="813"/>
    <w:uiPriority w:val="10"/>
    <w:qFormat/>
    <w:pPr>
      <w:contextualSpacing/>
      <w:spacing w:before="300" w:after="200"/>
    </w:pPr>
    <w:rPr>
      <w:sz w:val="48"/>
      <w:szCs w:val="48"/>
    </w:rPr>
  </w:style>
  <w:style w:type="paragraph" w:styleId="754">
    <w:name w:val="Body Text First Indent"/>
    <w:basedOn w:val="734"/>
    <w:uiPriority w:val="0"/>
    <w:qFormat/>
    <w:pPr>
      <w:ind w:firstLine="420"/>
      <w:spacing w:line="360" w:lineRule="auto"/>
    </w:pPr>
    <w:rPr>
      <w:rFonts w:ascii="Times New Roman" w:hAnsi="Times New Roman"/>
      <w:szCs w:val="21"/>
    </w:rPr>
  </w:style>
  <w:style w:type="table" w:styleId="7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table" w:styleId="759"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TOC 标题113"/>
    <w:uiPriority w:val="39"/>
    <w:unhideWhenUsed/>
    <w:qFormat/>
    <w:rPr>
      <w:rFonts w:hint="default" w:ascii="Times New Roman" w:hAnsi="Times New Roman" w:eastAsia="宋体" w:cs="Times New Roman"/>
      <w:lang w:val="en-US" w:eastAsia="zh-CN" w:bidi="ar-SA"/>
    </w:rPr>
  </w:style>
  <w:style w:type="paragraph" w:styleId="781" w:customStyle="1">
    <w:name w:val="TOC 标题112"/>
    <w:uiPriority w:val="39"/>
    <w:unhideWhenUsed/>
    <w:qFormat/>
    <w:rPr>
      <w:rFonts w:hint="default" w:ascii="Times New Roman" w:hAnsi="Times New Roman" w:eastAsia="宋体" w:cs="Times New Roman"/>
      <w:lang w:val="en-US" w:eastAsia="zh-CN" w:bidi="ar-SA"/>
    </w:rPr>
  </w:style>
  <w:style w:type="character" w:styleId="782" w:customStyle="1">
    <w:name w:val="Heading 1 Char"/>
    <w:basedOn w:val="730"/>
    <w:uiPriority w:val="9"/>
    <w:qFormat/>
    <w:rPr>
      <w:rFonts w:ascii="Arial" w:hAnsi="Arial" w:eastAsia="Arial" w:cs="Arial"/>
      <w:sz w:val="40"/>
      <w:szCs w:val="40"/>
    </w:rPr>
  </w:style>
  <w:style w:type="character" w:styleId="783" w:customStyle="1">
    <w:name w:val="Heading 2 Char"/>
    <w:basedOn w:val="730"/>
    <w:uiPriority w:val="9"/>
    <w:qFormat/>
    <w:rPr>
      <w:rFonts w:ascii="Arial" w:hAnsi="Arial" w:eastAsia="Arial" w:cs="Arial"/>
      <w:sz w:val="34"/>
    </w:rPr>
  </w:style>
  <w:style w:type="character" w:styleId="784" w:customStyle="1">
    <w:name w:val="Heading 3 Char"/>
    <w:basedOn w:val="730"/>
    <w:uiPriority w:val="9"/>
    <w:qFormat/>
    <w:rPr>
      <w:rFonts w:ascii="Arial" w:hAnsi="Arial" w:eastAsia="Arial" w:cs="Arial"/>
      <w:sz w:val="30"/>
      <w:szCs w:val="30"/>
    </w:rPr>
  </w:style>
  <w:style w:type="character" w:styleId="785" w:customStyle="1">
    <w:name w:val="Heading 4 Char"/>
    <w:basedOn w:val="730"/>
    <w:uiPriority w:val="9"/>
    <w:qFormat/>
    <w:rPr>
      <w:rFonts w:ascii="Arial" w:hAnsi="Arial" w:eastAsia="Arial" w:cs="Arial"/>
      <w:b/>
      <w:bCs/>
      <w:sz w:val="26"/>
      <w:szCs w:val="26"/>
    </w:rPr>
  </w:style>
  <w:style w:type="character" w:styleId="786" w:customStyle="1">
    <w:name w:val="Heading 5 Char"/>
    <w:basedOn w:val="730"/>
    <w:uiPriority w:val="9"/>
    <w:qFormat/>
    <w:rPr>
      <w:rFonts w:ascii="Arial" w:hAnsi="Arial" w:eastAsia="Arial" w:cs="Arial"/>
      <w:b/>
      <w:bCs/>
      <w:sz w:val="24"/>
      <w:szCs w:val="24"/>
    </w:rPr>
  </w:style>
  <w:style w:type="character" w:styleId="787" w:customStyle="1">
    <w:name w:val="Heading 6 Char"/>
    <w:basedOn w:val="730"/>
    <w:uiPriority w:val="9"/>
    <w:qFormat/>
    <w:rPr>
      <w:rFonts w:ascii="Arial" w:hAnsi="Arial" w:eastAsia="Arial" w:cs="Arial"/>
      <w:b/>
      <w:bCs/>
      <w:sz w:val="22"/>
      <w:szCs w:val="22"/>
    </w:rPr>
  </w:style>
  <w:style w:type="character" w:styleId="788" w:customStyle="1">
    <w:name w:val="Heading 7 Char"/>
    <w:basedOn w:val="730"/>
    <w:uiPriority w:val="9"/>
    <w:qFormat/>
    <w:rPr>
      <w:rFonts w:ascii="Arial" w:hAnsi="Arial" w:eastAsia="Arial" w:cs="Arial"/>
      <w:b/>
      <w:bCs/>
      <w:i/>
      <w:iCs/>
      <w:sz w:val="22"/>
      <w:szCs w:val="22"/>
    </w:rPr>
  </w:style>
  <w:style w:type="character" w:styleId="789" w:customStyle="1">
    <w:name w:val="Heading 8 Char"/>
    <w:basedOn w:val="730"/>
    <w:uiPriority w:val="9"/>
    <w:qFormat/>
    <w:rPr>
      <w:rFonts w:ascii="Arial" w:hAnsi="Arial" w:eastAsia="Arial" w:cs="Arial"/>
      <w:i/>
      <w:iCs/>
      <w:sz w:val="22"/>
      <w:szCs w:val="22"/>
    </w:rPr>
  </w:style>
  <w:style w:type="character" w:styleId="790" w:customStyle="1">
    <w:name w:val="Heading 9 Char"/>
    <w:basedOn w:val="730"/>
    <w:uiPriority w:val="9"/>
    <w:qFormat/>
    <w:rPr>
      <w:rFonts w:ascii="Arial" w:hAnsi="Arial" w:eastAsia="Arial" w:cs="Arial"/>
      <w:i/>
      <w:iCs/>
      <w:sz w:val="21"/>
      <w:szCs w:val="21"/>
    </w:rPr>
  </w:style>
  <w:style w:type="character" w:styleId="791" w:customStyle="1">
    <w:name w:val="Title Char"/>
    <w:basedOn w:val="730"/>
    <w:uiPriority w:val="10"/>
    <w:qFormat/>
    <w:rPr>
      <w:sz w:val="48"/>
      <w:szCs w:val="48"/>
    </w:rPr>
  </w:style>
  <w:style w:type="character" w:styleId="792" w:customStyle="1">
    <w:name w:val="Subtitle Char"/>
    <w:basedOn w:val="730"/>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30"/>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paragraph" w:styleId="800" w:customStyle="1">
    <w:name w:val="正文文本缩进1"/>
    <w:basedOn w:val="720"/>
    <w:link w:val="982"/>
    <w:uiPriority w:val="0"/>
    <w:qFormat/>
    <w:pPr>
      <w:ind w:firstLine="645"/>
    </w:pPr>
    <w:rPr>
      <w:rFonts w:ascii="楷体_GB2312" w:eastAsia="楷体_GB2312"/>
      <w:sz w:val="32"/>
      <w:szCs w:val="32"/>
      <w:lang w:eastAsia="en-US"/>
    </w:rPr>
  </w:style>
  <w:style w:type="paragraph" w:styleId="8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2" w:customStyle="1">
    <w:name w:val="标题 1 字符"/>
    <w:link w:val="721"/>
    <w:uiPriority w:val="9"/>
    <w:qFormat/>
    <w:rPr>
      <w:rFonts w:ascii="Arial" w:hAnsi="Arial" w:eastAsia="Arial" w:cs="Arial"/>
      <w:sz w:val="40"/>
      <w:szCs w:val="40"/>
    </w:rPr>
  </w:style>
  <w:style w:type="character" w:styleId="803" w:customStyle="1">
    <w:name w:val="标题 2 字符"/>
    <w:link w:val="722"/>
    <w:uiPriority w:val="9"/>
    <w:qFormat/>
    <w:rPr>
      <w:rFonts w:ascii="Arial" w:hAnsi="Arial" w:eastAsia="Arial" w:cs="Arial"/>
      <w:sz w:val="34"/>
    </w:rPr>
  </w:style>
  <w:style w:type="character" w:styleId="804" w:customStyle="1">
    <w:name w:val="标题 3 字符"/>
    <w:link w:val="723"/>
    <w:uiPriority w:val="9"/>
    <w:qFormat/>
    <w:rPr>
      <w:rFonts w:ascii="Arial" w:hAnsi="Arial" w:eastAsia="Arial" w:cs="Arial"/>
      <w:sz w:val="30"/>
      <w:szCs w:val="30"/>
    </w:rPr>
  </w:style>
  <w:style w:type="character" w:styleId="805" w:customStyle="1">
    <w:name w:val="标题 4 字符"/>
    <w:link w:val="724"/>
    <w:uiPriority w:val="9"/>
    <w:qFormat/>
    <w:rPr>
      <w:rFonts w:ascii="Arial" w:hAnsi="Arial" w:eastAsia="Arial" w:cs="Arial"/>
      <w:b/>
      <w:bCs/>
      <w:sz w:val="26"/>
      <w:szCs w:val="26"/>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List Paragraph"/>
    <w:basedOn w:val="720"/>
    <w:uiPriority w:val="34"/>
    <w:qFormat/>
    <w:pPr>
      <w:contextualSpacing/>
      <w:ind w:left="720"/>
    </w:pPr>
  </w:style>
  <w:style w:type="paragraph" w:styleId="812">
    <w:name w:val="No Spacing"/>
    <w:uiPriority w:val="1"/>
    <w:qFormat/>
    <w:rPr>
      <w:rFonts w:hint="default" w:ascii="Calibri" w:hAnsi="Calibri" w:eastAsia="宋体" w:cs="Times New Roman"/>
      <w:lang w:val="en-US" w:eastAsia="zh-CN" w:bidi="ar-SA"/>
    </w:rPr>
  </w:style>
  <w:style w:type="character" w:styleId="813" w:customStyle="1">
    <w:name w:val="标题 字符"/>
    <w:link w:val="753"/>
    <w:uiPriority w:val="10"/>
    <w:qFormat/>
    <w:rPr>
      <w:sz w:val="48"/>
      <w:szCs w:val="48"/>
    </w:rPr>
  </w:style>
  <w:style w:type="character" w:styleId="814" w:customStyle="1">
    <w:name w:val="副标题 字符"/>
    <w:link w:val="746"/>
    <w:uiPriority w:val="11"/>
    <w:qFormat/>
    <w:rPr>
      <w:sz w:val="24"/>
      <w:szCs w:val="24"/>
    </w:rPr>
  </w:style>
  <w:style w:type="paragraph" w:styleId="815">
    <w:name w:val="Quote"/>
    <w:basedOn w:val="720"/>
    <w:next w:val="72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0"/>
    <w:next w:val="72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3"/>
    <w:uiPriority w:val="99"/>
    <w:qFormat/>
  </w:style>
  <w:style w:type="character" w:styleId="820" w:customStyle="1">
    <w:name w:val="Footer Char"/>
    <w:uiPriority w:val="99"/>
    <w:qFormat/>
  </w:style>
  <w:style w:type="character" w:styleId="821" w:customStyle="1">
    <w:name w:val="页脚 字符"/>
    <w:link w:val="741"/>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7"/>
    <w:uiPriority w:val="99"/>
    <w:qFormat/>
    <w:rPr>
      <w:sz w:val="18"/>
    </w:rPr>
  </w:style>
  <w:style w:type="character" w:styleId="948" w:customStyle="1">
    <w:name w:val="尾注文本 字符"/>
    <w:link w:val="740"/>
    <w:uiPriority w:val="99"/>
    <w:qFormat/>
    <w:rPr>
      <w:sz w:val="20"/>
    </w:rPr>
  </w:style>
  <w:style w:type="paragraph" w:styleId="949" w:customStyle="1">
    <w:name w:val="TOC 标题11"/>
    <w:uiPriority w:val="39"/>
    <w:unhideWhenUsed/>
    <w:qFormat/>
    <w:rPr>
      <w:rFonts w:hint="default" w:ascii="Calibri" w:hAnsi="Calibri" w:eastAsia="宋体" w:cs="Times New Roman"/>
      <w:lang w:val="en-US" w:eastAsia="zh-CN" w:bidi="ar-SA"/>
    </w:rPr>
  </w:style>
  <w:style w:type="paragraph" w:styleId="950" w:customStyle="1">
    <w:name w:val="标题 11"/>
    <w:basedOn w:val="720"/>
    <w:next w:val="720"/>
    <w:link w:val="962"/>
    <w:uiPriority w:val="0"/>
    <w:qFormat/>
    <w:pPr>
      <w:jc w:val="center"/>
      <w:keepNext/>
      <w:outlineLvl w:val="0"/>
    </w:pPr>
    <w:rPr>
      <w:rFonts w:ascii="楷体_GB2312" w:eastAsia="楷体_GB2312"/>
      <w:sz w:val="28"/>
      <w:szCs w:val="28"/>
      <w:lang w:eastAsia="en-US"/>
    </w:rPr>
  </w:style>
  <w:style w:type="paragraph" w:styleId="951" w:customStyle="1">
    <w:name w:val="标题 21"/>
    <w:basedOn w:val="720"/>
    <w:next w:val="952"/>
    <w:link w:val="96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2" w:customStyle="1">
    <w:name w:val="正文缩进1"/>
    <w:basedOn w:val="720"/>
    <w:link w:val="964"/>
    <w:uiPriority w:val="0"/>
    <w:qFormat/>
    <w:pPr>
      <w:ind w:firstLine="420"/>
    </w:pPr>
    <w:rPr>
      <w:sz w:val="20"/>
      <w:lang w:eastAsia="en-US"/>
    </w:rPr>
  </w:style>
  <w:style w:type="paragraph" w:styleId="953" w:customStyle="1">
    <w:name w:val="标题 31"/>
    <w:basedOn w:val="720"/>
    <w:next w:val="952"/>
    <w:link w:val="965"/>
    <w:uiPriority w:val="0"/>
    <w:qFormat/>
    <w:pPr>
      <w:keepLines/>
      <w:keepNext/>
      <w:spacing w:before="260" w:after="260" w:line="416" w:lineRule="auto"/>
      <w:outlineLvl w:val="2"/>
    </w:pPr>
    <w:rPr>
      <w:b/>
      <w:bCs/>
      <w:sz w:val="32"/>
      <w:szCs w:val="32"/>
      <w:lang w:eastAsia="en-US"/>
    </w:rPr>
  </w:style>
  <w:style w:type="paragraph" w:styleId="954" w:customStyle="1">
    <w:name w:val="标题 41"/>
    <w:basedOn w:val="720"/>
    <w:next w:val="952"/>
    <w:link w:val="966"/>
    <w:uiPriority w:val="0"/>
    <w:qFormat/>
    <w:pPr>
      <w:keepLines/>
      <w:keepNext/>
      <w:spacing w:before="280" w:after="290" w:line="376" w:lineRule="auto"/>
      <w:outlineLvl w:val="3"/>
    </w:pPr>
    <w:rPr>
      <w:rFonts w:ascii="Arial" w:hAnsi="Arial" w:eastAsia="黑体"/>
      <w:b/>
      <w:bCs/>
      <w:sz w:val="28"/>
      <w:szCs w:val="28"/>
      <w:lang w:eastAsia="en-US"/>
    </w:rPr>
  </w:style>
  <w:style w:type="paragraph" w:styleId="955" w:customStyle="1">
    <w:name w:val="标题 51"/>
    <w:basedOn w:val="720"/>
    <w:next w:val="952"/>
    <w:link w:val="967"/>
    <w:uiPriority w:val="0"/>
    <w:qFormat/>
    <w:pPr>
      <w:keepNext/>
      <w:outlineLvl w:val="4"/>
    </w:pPr>
    <w:rPr>
      <w:rFonts w:ascii="宋体"/>
      <w:color w:val="000000"/>
      <w:sz w:val="28"/>
      <w:szCs w:val="28"/>
      <w:lang w:eastAsia="en-US"/>
    </w:rPr>
  </w:style>
  <w:style w:type="paragraph" w:styleId="956" w:customStyle="1">
    <w:name w:val="标题 61"/>
    <w:basedOn w:val="720"/>
    <w:next w:val="720"/>
    <w:link w:val="96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7" w:customStyle="1">
    <w:name w:val="标题 71"/>
    <w:basedOn w:val="720"/>
    <w:next w:val="720"/>
    <w:link w:val="969"/>
    <w:uiPriority w:val="0"/>
    <w:qFormat/>
    <w:pPr>
      <w:numPr>
        <w:ilvl w:val="6"/>
        <w:numId w:val="1"/>
      </w:numPr>
      <w:keepLines/>
      <w:keepNext/>
      <w:spacing w:before="240" w:after="64" w:line="320" w:lineRule="auto"/>
      <w:outlineLvl w:val="6"/>
    </w:pPr>
    <w:rPr>
      <w:b/>
      <w:bCs/>
      <w:sz w:val="24"/>
      <w:szCs w:val="24"/>
      <w:lang w:eastAsia="en-US"/>
    </w:rPr>
  </w:style>
  <w:style w:type="paragraph" w:styleId="958" w:customStyle="1">
    <w:name w:val="标题 81"/>
    <w:basedOn w:val="720"/>
    <w:next w:val="720"/>
    <w:link w:val="97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9" w:customStyle="1">
    <w:name w:val="标题 91"/>
    <w:basedOn w:val="720"/>
    <w:next w:val="720"/>
    <w:link w:val="97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正文缩进 Char"/>
    <w:link w:val="952"/>
    <w:uiPriority w:val="0"/>
    <w:qFormat/>
    <w:rPr>
      <w:rFonts w:ascii="Times New Roman" w:hAnsi="Times New Roman" w:eastAsia="宋体" w:cs="Times New Roman"/>
      <w:szCs w:val="21"/>
    </w:rPr>
  </w:style>
  <w:style w:type="character" w:styleId="965" w:customStyle="1">
    <w:name w:val="标题 3 Char"/>
    <w:link w:val="953"/>
    <w:uiPriority w:val="0"/>
    <w:qFormat/>
    <w:rPr>
      <w:rFonts w:ascii="Times New Roman" w:hAnsi="Times New Roman" w:eastAsia="宋体" w:cs="Times New Roman"/>
      <w:b/>
      <w:bCs/>
      <w:sz w:val="32"/>
      <w:szCs w:val="32"/>
    </w:rPr>
  </w:style>
  <w:style w:type="character" w:styleId="966" w:customStyle="1">
    <w:name w:val="标题 4 Char"/>
    <w:link w:val="954"/>
    <w:uiPriority w:val="0"/>
    <w:qFormat/>
    <w:rPr>
      <w:rFonts w:ascii="Arial" w:hAnsi="Arial" w:eastAsia="黑体" w:cs="Arial"/>
      <w:b/>
      <w:bCs/>
      <w:sz w:val="28"/>
      <w:szCs w:val="28"/>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20"/>
    <w:uiPriority w:val="0"/>
    <w:qFormat/>
    <w:pPr>
      <w:ind w:left="100" w:hanging="200"/>
    </w:pPr>
  </w:style>
  <w:style w:type="paragraph" w:styleId="973" w:customStyle="1">
    <w:name w:val="目录 71"/>
    <w:basedOn w:val="720"/>
    <w:next w:val="720"/>
    <w:uiPriority w:val="0"/>
    <w:semiHidden/>
    <w:qFormat/>
    <w:pPr>
      <w:ind w:left="1260"/>
      <w:jc w:val="left"/>
    </w:pPr>
  </w:style>
  <w:style w:type="paragraph" w:styleId="974" w:customStyle="1">
    <w:name w:val="文档结构图1"/>
    <w:basedOn w:val="720"/>
    <w:link w:val="975"/>
    <w:uiPriority w:val="0"/>
    <w:semiHidden/>
    <w:qFormat/>
    <w:pPr>
      <w:shd w:val="clear" w:color="auto" w:fill="000080"/>
    </w:pPr>
    <w:rPr>
      <w:sz w:val="20"/>
      <w:lang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20"/>
    <w:link w:val="977"/>
    <w:uiPriority w:val="0"/>
    <w:semiHidden/>
    <w:qFormat/>
    <w:pPr>
      <w:jc w:val="left"/>
    </w:pPr>
    <w:rPr>
      <w:sz w:val="20"/>
      <w:lang w:eastAsia="en-US"/>
    </w:rPr>
  </w:style>
  <w:style w:type="character" w:styleId="977" w:customStyle="1">
    <w:name w:val="批注文字 Char"/>
    <w:link w:val="976"/>
    <w:uiPriority w:val="0"/>
    <w:semiHidden/>
    <w:qFormat/>
    <w:rPr>
      <w:rFonts w:ascii="Times New Roman" w:hAnsi="Times New Roman" w:eastAsia="宋体" w:cs="Times New Roman"/>
      <w:szCs w:val="21"/>
    </w:rPr>
  </w:style>
  <w:style w:type="paragraph" w:styleId="978" w:customStyle="1">
    <w:name w:val="正文文本 31"/>
    <w:basedOn w:val="720"/>
    <w:link w:val="979"/>
    <w:uiPriority w:val="0"/>
    <w:qFormat/>
    <w:rPr>
      <w:rFonts w:ascii="仿宋_GB2312" w:hAnsi="Arial" w:eastAsia="仿宋_GB2312"/>
      <w:sz w:val="32"/>
      <w:szCs w:val="32"/>
      <w:lang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20"/>
    <w:link w:val="981"/>
    <w:uiPriority w:val="0"/>
    <w:qFormat/>
    <w:rPr>
      <w:rFonts w:ascii="楷体_GB2312" w:hAnsi="Arial" w:eastAsia="楷体_GB2312"/>
      <w:sz w:val="28"/>
      <w:szCs w:val="28"/>
      <w:lang w:eastAsia="en-US"/>
    </w:rPr>
  </w:style>
  <w:style w:type="character" w:styleId="981" w:customStyle="1">
    <w:name w:val="正文文本 Char"/>
    <w:link w:val="980"/>
    <w:uiPriority w:val="0"/>
    <w:qFormat/>
    <w:rPr>
      <w:rFonts w:ascii="楷体_GB2312" w:hAnsi="Arial" w:eastAsia="楷体_GB2312" w:cs="Times New Roman"/>
      <w:sz w:val="28"/>
      <w:szCs w:val="28"/>
    </w:rPr>
  </w:style>
  <w:style w:type="character" w:styleId="982" w:customStyle="1">
    <w:name w:val="正文文本缩进 Char"/>
    <w:link w:val="800"/>
    <w:uiPriority w:val="0"/>
    <w:qFormat/>
    <w:rPr>
      <w:rFonts w:ascii="楷体_GB2312" w:hAnsi="Times New Roman" w:eastAsia="楷体_GB2312" w:cs="Times New Roman"/>
      <w:sz w:val="32"/>
      <w:szCs w:val="32"/>
    </w:rPr>
  </w:style>
  <w:style w:type="paragraph" w:styleId="983" w:customStyle="1">
    <w:name w:val="列表 21"/>
    <w:basedOn w:val="720"/>
    <w:uiPriority w:val="0"/>
    <w:qFormat/>
    <w:pPr>
      <w:ind w:left="100" w:hanging="200"/>
    </w:pPr>
  </w:style>
  <w:style w:type="paragraph" w:styleId="984" w:customStyle="1">
    <w:name w:val="目录 51"/>
    <w:basedOn w:val="720"/>
    <w:next w:val="720"/>
    <w:uiPriority w:val="0"/>
    <w:semiHidden/>
    <w:qFormat/>
    <w:pPr>
      <w:ind w:left="840"/>
      <w:jc w:val="left"/>
    </w:pPr>
  </w:style>
  <w:style w:type="paragraph" w:styleId="985" w:customStyle="1">
    <w:name w:val="目录 31"/>
    <w:basedOn w:val="720"/>
    <w:next w:val="720"/>
    <w:uiPriority w:val="0"/>
    <w:semiHidden/>
    <w:qFormat/>
    <w:pPr>
      <w:ind w:left="420"/>
      <w:jc w:val="left"/>
    </w:pPr>
    <w:rPr>
      <w:i/>
      <w:iCs/>
      <w:szCs w:val="24"/>
    </w:rPr>
  </w:style>
  <w:style w:type="paragraph" w:styleId="986" w:customStyle="1">
    <w:name w:val="纯文本1"/>
    <w:basedOn w:val="720"/>
    <w:link w:val="987"/>
    <w:uiPriority w:val="0"/>
    <w:qFormat/>
    <w:rPr>
      <w:rFonts w:ascii="宋体" w:hAnsi="Courier New"/>
      <w:sz w:val="20"/>
      <w:lang w:eastAsia="en-US"/>
    </w:rPr>
  </w:style>
  <w:style w:type="character" w:styleId="987" w:customStyle="1">
    <w:name w:val="纯文本 Char"/>
    <w:link w:val="986"/>
    <w:uiPriority w:val="0"/>
    <w:qFormat/>
    <w:rPr>
      <w:rFonts w:ascii="宋体" w:hAnsi="Courier New" w:eastAsia="宋体" w:cs="Courier New"/>
      <w:szCs w:val="21"/>
    </w:rPr>
  </w:style>
  <w:style w:type="paragraph" w:styleId="988" w:customStyle="1">
    <w:name w:val="目录 81"/>
    <w:basedOn w:val="720"/>
    <w:next w:val="720"/>
    <w:uiPriority w:val="0"/>
    <w:semiHidden/>
    <w:qFormat/>
    <w:pPr>
      <w:ind w:left="1470"/>
      <w:jc w:val="left"/>
    </w:pPr>
  </w:style>
  <w:style w:type="paragraph" w:styleId="989" w:customStyle="1">
    <w:name w:val="日期1"/>
    <w:basedOn w:val="720"/>
    <w:next w:val="720"/>
    <w:link w:val="990"/>
    <w:uiPriority w:val="0"/>
    <w:qFormat/>
    <w:rPr>
      <w:sz w:val="24"/>
      <w:szCs w:val="24"/>
      <w:lang w:eastAsia="en-US"/>
    </w:rPr>
  </w:style>
  <w:style w:type="character" w:styleId="990" w:customStyle="1">
    <w:name w:val="日期 Char"/>
    <w:link w:val="989"/>
    <w:uiPriority w:val="0"/>
    <w:qFormat/>
    <w:rPr>
      <w:rFonts w:ascii="Times New Roman" w:hAnsi="Times New Roman" w:eastAsia="宋体" w:cs="Times New Roman"/>
      <w:sz w:val="24"/>
      <w:szCs w:val="24"/>
    </w:rPr>
  </w:style>
  <w:style w:type="paragraph" w:styleId="991" w:customStyle="1">
    <w:name w:val="正文文本缩进 21"/>
    <w:basedOn w:val="720"/>
    <w:link w:val="992"/>
    <w:uiPriority w:val="0"/>
    <w:qFormat/>
    <w:pPr>
      <w:ind w:left="630" w:firstLine="645"/>
    </w:pPr>
    <w:rPr>
      <w:rFonts w:ascii="Arial" w:hAnsi="Arial" w:eastAsia="仿宋_GB2312"/>
      <w:sz w:val="32"/>
      <w:szCs w:val="32"/>
      <w:lang w:eastAsia="en-US"/>
    </w:rPr>
  </w:style>
  <w:style w:type="character" w:styleId="992" w:customStyle="1">
    <w:name w:val="正文文本缩进 2 Char"/>
    <w:link w:val="991"/>
    <w:uiPriority w:val="0"/>
    <w:qFormat/>
    <w:rPr>
      <w:rFonts w:ascii="Arial" w:hAnsi="Arial" w:eastAsia="仿宋_GB2312" w:cs="Arial"/>
      <w:sz w:val="32"/>
      <w:szCs w:val="32"/>
    </w:rPr>
  </w:style>
  <w:style w:type="paragraph" w:styleId="993" w:customStyle="1">
    <w:name w:val="批注框文本1"/>
    <w:basedOn w:val="720"/>
    <w:link w:val="994"/>
    <w:uiPriority w:val="0"/>
    <w:qFormat/>
    <w:rPr>
      <w:sz w:val="18"/>
      <w:szCs w:val="18"/>
      <w:lang w:eastAsia="en-US"/>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20"/>
    <w:link w:val="996"/>
    <w:uiPriority w:val="0"/>
    <w:qFormat/>
    <w:pPr>
      <w:jc w:val="left"/>
      <w:tabs>
        <w:tab w:val="center" w:pos="4153" w:leader="none"/>
        <w:tab w:val="right" w:pos="8306" w:leader="none"/>
      </w:tabs>
    </w:pPr>
    <w:rPr>
      <w:sz w:val="18"/>
      <w:szCs w:val="18"/>
      <w:lang w:eastAsia="en-US"/>
    </w:rPr>
  </w:style>
  <w:style w:type="character" w:styleId="996" w:customStyle="1">
    <w:name w:val="页脚 Char"/>
    <w:link w:val="995"/>
    <w:uiPriority w:val="0"/>
    <w:qFormat/>
    <w:rPr>
      <w:rFonts w:ascii="Times New Roman" w:hAnsi="Times New Roman" w:eastAsia="宋体" w:cs="Times New Roman"/>
      <w:sz w:val="18"/>
      <w:szCs w:val="18"/>
    </w:rPr>
  </w:style>
  <w:style w:type="paragraph" w:styleId="997" w:customStyle="1">
    <w:name w:val="页眉1"/>
    <w:basedOn w:val="720"/>
    <w:link w:val="99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1000" w:customStyle="1">
    <w:name w:val="目录 41"/>
    <w:basedOn w:val="720"/>
    <w:next w:val="720"/>
    <w:uiPriority w:val="0"/>
    <w:semiHidden/>
    <w:qFormat/>
    <w:pPr>
      <w:ind w:left="630"/>
      <w:jc w:val="left"/>
    </w:pPr>
  </w:style>
  <w:style w:type="paragraph" w:styleId="1001" w:customStyle="1">
    <w:name w:val="列表1"/>
    <w:basedOn w:val="720"/>
    <w:uiPriority w:val="0"/>
    <w:qFormat/>
    <w:pPr>
      <w:ind w:left="200" w:hanging="200"/>
    </w:pPr>
  </w:style>
  <w:style w:type="paragraph" w:styleId="1002" w:customStyle="1">
    <w:name w:val="目录 61"/>
    <w:basedOn w:val="720"/>
    <w:next w:val="720"/>
    <w:uiPriority w:val="0"/>
    <w:semiHidden/>
    <w:qFormat/>
    <w:pPr>
      <w:ind w:left="1050"/>
      <w:jc w:val="left"/>
    </w:pPr>
  </w:style>
  <w:style w:type="paragraph" w:styleId="1003" w:customStyle="1">
    <w:name w:val="正文文本缩进 31"/>
    <w:basedOn w:val="720"/>
    <w:link w:val="1004"/>
    <w:uiPriority w:val="0"/>
    <w:qFormat/>
    <w:pPr>
      <w:ind w:left="645" w:firstLine="645"/>
    </w:pPr>
    <w:rPr>
      <w:rFonts w:ascii="Arial" w:hAnsi="Arial" w:eastAsia="仿宋_GB2312"/>
      <w:color w:val="ffff00"/>
      <w:sz w:val="32"/>
      <w:szCs w:val="32"/>
      <w:lang w:eastAsia="en-US"/>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图表目录1"/>
    <w:basedOn w:val="720"/>
    <w:next w:val="720"/>
    <w:uiPriority w:val="0"/>
    <w:semiHidden/>
    <w:qFormat/>
    <w:pPr>
      <w:ind w:left="840" w:hanging="420"/>
    </w:pPr>
  </w:style>
  <w:style w:type="paragraph" w:styleId="1006" w:customStyle="1">
    <w:name w:val="目录 21"/>
    <w:basedOn w:val="720"/>
    <w:next w:val="720"/>
    <w:uiPriority w:val="0"/>
    <w:semiHidden/>
    <w:qFormat/>
    <w:pPr>
      <w:ind w:left="210"/>
      <w:jc w:val="left"/>
    </w:pPr>
    <w:rPr>
      <w:smallCaps/>
      <w:szCs w:val="24"/>
    </w:rPr>
  </w:style>
  <w:style w:type="paragraph" w:styleId="1007" w:customStyle="1">
    <w:name w:val="目录 91"/>
    <w:basedOn w:val="720"/>
    <w:next w:val="720"/>
    <w:uiPriority w:val="0"/>
    <w:semiHidden/>
    <w:qFormat/>
    <w:pPr>
      <w:ind w:left="1680"/>
      <w:jc w:val="left"/>
    </w:pPr>
  </w:style>
  <w:style w:type="paragraph" w:styleId="1008" w:customStyle="1">
    <w:name w:val="正文文本 21"/>
    <w:basedOn w:val="720"/>
    <w:link w:val="1009"/>
    <w:uiPriority w:val="0"/>
    <w:qFormat/>
    <w:pPr>
      <w:jc w:val="center"/>
      <w:widowControl/>
    </w:pPr>
    <w:rPr>
      <w:rFonts w:ascii="楷体_GB2312" w:eastAsia="楷体_GB2312"/>
      <w:sz w:val="28"/>
      <w:szCs w:val="28"/>
      <w:lang w:eastAsia="en-US"/>
    </w:rPr>
  </w:style>
  <w:style w:type="character" w:styleId="1009" w:customStyle="1">
    <w:name w:val="正文文本 2 Char"/>
    <w:link w:val="1008"/>
    <w:uiPriority w:val="0"/>
    <w:qFormat/>
    <w:rPr>
      <w:rFonts w:ascii="楷体_GB2312" w:hAnsi="Times New Roman" w:eastAsia="楷体_GB2312" w:cs="Times New Roman"/>
      <w:sz w:val="28"/>
      <w:szCs w:val="28"/>
    </w:rPr>
  </w:style>
  <w:style w:type="paragraph" w:styleId="1010"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1011" w:customStyle="1">
    <w:name w:val="索引 11"/>
    <w:basedOn w:val="720"/>
    <w:next w:val="720"/>
    <w:uiPriority w:val="0"/>
    <w:semiHidden/>
    <w:qFormat/>
    <w:pPr>
      <w:spacing w:line="240" w:lineRule="atLeast"/>
    </w:pPr>
    <w:rPr>
      <w:b/>
      <w:bCs/>
    </w:rPr>
  </w:style>
  <w:style w:type="paragraph" w:styleId="1012" w:customStyle="1">
    <w:name w:val="批注主题1"/>
    <w:basedOn w:val="976"/>
    <w:next w:val="976"/>
    <w:link w:val="1013"/>
    <w:uiPriority w:val="0"/>
    <w:semiHidden/>
    <w:qFormat/>
    <w:rPr>
      <w:b/>
      <w:bCs/>
    </w:rPr>
  </w:style>
  <w:style w:type="character" w:styleId="1013" w:customStyle="1">
    <w:name w:val="批注主题 Char"/>
    <w:link w:val="1012"/>
    <w:uiPriority w:val="0"/>
    <w:semiHidden/>
    <w:qFormat/>
    <w:rPr>
      <w:rFonts w:ascii="Times New Roman" w:hAnsi="Times New Roman" w:eastAsia="宋体" w:cs="Times New Roman"/>
      <w:b/>
      <w:bCs/>
      <w:szCs w:val="21"/>
    </w:rPr>
  </w:style>
  <w:style w:type="paragraph" w:styleId="1014" w:customStyle="1">
    <w:name w:val="正文首行缩进1"/>
    <w:basedOn w:val="720"/>
    <w:link w:val="1015"/>
    <w:uiPriority w:val="0"/>
    <w:qFormat/>
    <w:pPr>
      <w:ind w:firstLine="200"/>
      <w:spacing w:line="360" w:lineRule="auto"/>
    </w:pPr>
    <w:rPr>
      <w:rFonts w:ascii="仿宋_GB2312" w:eastAsia="仿宋_GB2312"/>
      <w:sz w:val="30"/>
      <w:szCs w:val="30"/>
      <w:lang w:eastAsia="en-US"/>
    </w:rPr>
  </w:style>
  <w:style w:type="character" w:styleId="1015" w:customStyle="1">
    <w:name w:val="正文首行缩进 Char"/>
    <w:link w:val="1014"/>
    <w:uiPriority w:val="0"/>
    <w:qFormat/>
    <w:rPr>
      <w:rFonts w:ascii="仿宋_GB2312" w:hAnsi="Times New Roman" w:eastAsia="仿宋_GB2312" w:cs="Times New Roman"/>
      <w:sz w:val="30"/>
      <w:szCs w:val="30"/>
    </w:rPr>
  </w:style>
  <w:style w:type="paragraph" w:styleId="1016" w:customStyle="1">
    <w:name w:val="正文首行缩进 21"/>
    <w:basedOn w:val="800"/>
    <w:link w:val="1017"/>
    <w:uiPriority w:val="0"/>
    <w:qFormat/>
    <w:pPr>
      <w:ind w:firstLine="420"/>
      <w:spacing w:line="360" w:lineRule="auto"/>
    </w:pPr>
    <w:rPr>
      <w:rFonts w:ascii="宋体" w:hAnsi="宋体" w:eastAsia="宋体"/>
      <w:szCs w:val="20"/>
    </w:rPr>
  </w:style>
  <w:style w:type="character" w:styleId="1017" w:customStyle="1">
    <w:name w:val="正文首行缩进 2 Char"/>
    <w:link w:val="1016"/>
    <w:uiPriority w:val="0"/>
    <w:qFormat/>
    <w:rPr>
      <w:rFonts w:ascii="宋体" w:hAnsi="宋体" w:eastAsia="宋体" w:cs="Times New Roman"/>
      <w:sz w:val="32"/>
      <w:szCs w:val="20"/>
    </w:rPr>
  </w:style>
  <w:style w:type="table" w:styleId="1018" w:customStyle="1">
    <w:name w:val="网格型1"/>
    <w:basedOn w:val="961"/>
    <w:uiPriority w:val="0"/>
    <w:qFormat/>
    <w:pPr>
      <w:jc w:val="both"/>
      <w:widowControl w:val="off"/>
    </w:pPr>
    <w:tblPr/>
  </w:style>
  <w:style w:type="character" w:styleId="1019" w:customStyle="1">
    <w:name w:val="要点1"/>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HTML 打字机1"/>
    <w:uiPriority w:val="99"/>
    <w:qFormat/>
    <w:rPr>
      <w:rFonts w:ascii="宋体" w:hAnsi="宋体" w:eastAsia="宋体" w:cs="宋体"/>
      <w:sz w:val="24"/>
      <w:szCs w:val="24"/>
    </w:rPr>
  </w:style>
  <w:style w:type="character" w:styleId="1023" w:customStyle="1">
    <w:name w:val="超链接1"/>
    <w:uiPriority w:val="0"/>
    <w:qFormat/>
    <w:rPr>
      <w:color w:val="0000ff"/>
      <w:u w:val="single"/>
    </w:rPr>
  </w:style>
  <w:style w:type="character" w:styleId="1024" w:customStyle="1">
    <w:name w:val="批注引用1"/>
    <w:uiPriority w:val="0"/>
    <w:semiHidden/>
    <w:qFormat/>
    <w:rPr>
      <w:sz w:val="21"/>
      <w:szCs w:val="21"/>
    </w:rPr>
  </w:style>
  <w:style w:type="character" w:styleId="1025" w:customStyle="1">
    <w:name w:val="font5 Char"/>
    <w:uiPriority w:val="0"/>
    <w:qFormat/>
    <w:rPr>
      <w:rFonts w:ascii="宋体" w:hAnsi="宋体" w:eastAsia="宋体"/>
      <w:sz w:val="28"/>
      <w:szCs w:val="28"/>
      <w:lang w:val="en-US" w:eastAsia="zh-CN" w:bidi="ar-SA"/>
    </w:rPr>
  </w:style>
  <w:style w:type="character" w:styleId="1026" w:customStyle="1">
    <w:name w:val="二级目录 Char"/>
    <w:link w:val="1027"/>
    <w:uiPriority w:val="0"/>
    <w:qFormat/>
    <w:rPr>
      <w:rFonts w:ascii="Calibri" w:hAnsi="Calibri"/>
      <w:b/>
      <w:sz w:val="30"/>
      <w:szCs w:val="28"/>
    </w:rPr>
  </w:style>
  <w:style w:type="paragraph" w:styleId="1027" w:customStyle="1">
    <w:name w:val="二级目录"/>
    <w:next w:val="720"/>
    <w:link w:val="102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720"/>
    <w:link w:val="1028"/>
    <w:uiPriority w:val="0"/>
    <w:qFormat/>
    <w:pPr>
      <w:contextualSpacing/>
      <w:ind w:left="720"/>
      <w:jc w:val="left"/>
      <w:widowControl/>
    </w:pPr>
    <w:rPr>
      <w:rFonts w:ascii="Calibri" w:hAnsi="Calibri"/>
      <w:sz w:val="24"/>
      <w:szCs w:val="24"/>
      <w:lang w:eastAsia="en-US" w:bidi="en-US"/>
    </w:rPr>
  </w:style>
  <w:style w:type="paragraph" w:styleId="1030" w:customStyle="1">
    <w:name w:val="Body Text(ch)"/>
    <w:basedOn w:val="720"/>
    <w:next w:val="980"/>
    <w:uiPriority w:val="0"/>
    <w:qFormat/>
    <w:pPr>
      <w:spacing w:after="120"/>
    </w:pPr>
    <w:rPr>
      <w:rFonts w:ascii="宋体" w:hAnsi="Arial"/>
      <w:bCs/>
      <w:iCs/>
      <w:szCs w:val="24"/>
    </w:rPr>
  </w:style>
  <w:style w:type="paragraph" w:styleId="1031"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20"/>
    <w:uiPriority w:val="0"/>
    <w:qFormat/>
    <w:pPr>
      <w:ind w:firstLine="200"/>
      <w:tabs>
        <w:tab w:val="left" w:pos="360" w:leader="none"/>
      </w:tabs>
    </w:pPr>
    <w:rPr>
      <w:sz w:val="28"/>
      <w:szCs w:val="30"/>
    </w:rPr>
  </w:style>
  <w:style w:type="paragraph" w:styleId="1034" w:customStyle="1">
    <w:name w:val="Char1"/>
    <w:basedOn w:val="974"/>
    <w:uiPriority w:val="0"/>
    <w:qFormat/>
    <w:rPr>
      <w:rFonts w:ascii="Tahoma" w:hAnsi="Tahoma"/>
      <w:sz w:val="24"/>
      <w:szCs w:val="24"/>
    </w:rPr>
  </w:style>
  <w:style w:type="paragraph" w:styleId="103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20"/>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4"/>
    <w:uiPriority w:val="0"/>
    <w:qFormat/>
    <w:pPr>
      <w:spacing w:line="360" w:lineRule="auto"/>
    </w:pPr>
    <w:rPr>
      <w:rFonts w:ascii="Tahoma" w:hAnsi="Tahoma"/>
      <w:sz w:val="24"/>
      <w:szCs w:val="24"/>
    </w:rPr>
  </w:style>
  <w:style w:type="paragraph" w:styleId="1040"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41" w:customStyle="1">
    <w:name w:val="4"/>
    <w:basedOn w:val="720"/>
    <w:next w:val="1003"/>
    <w:uiPriority w:val="0"/>
    <w:qFormat/>
    <w:pPr>
      <w:ind w:firstLine="420"/>
      <w:spacing w:line="360" w:lineRule="auto"/>
    </w:pPr>
    <w:rPr>
      <w:color w:val="ff0000"/>
      <w:sz w:val="24"/>
      <w:szCs w:val="24"/>
    </w:rPr>
  </w:style>
  <w:style w:type="paragraph" w:styleId="1042"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20"/>
    <w:uiPriority w:val="0"/>
    <w:qFormat/>
    <w:pPr>
      <w:spacing w:line="360" w:lineRule="auto"/>
    </w:pPr>
    <w:rPr>
      <w:sz w:val="24"/>
      <w:szCs w:val="20"/>
    </w:rPr>
  </w:style>
  <w:style w:type="paragraph" w:styleId="1044" w:customStyle="1">
    <w:name w:val="样式1"/>
    <w:basedOn w:val="720"/>
    <w:uiPriority w:val="0"/>
    <w:qFormat/>
    <w:pPr>
      <w:numPr>
        <w:ilvl w:val="0"/>
        <w:numId w:val="3"/>
      </w:numPr>
    </w:pPr>
    <w:rPr>
      <w:rFonts w:ascii="宋体" w:hAnsi="宋体"/>
    </w:rPr>
  </w:style>
  <w:style w:type="paragraph" w:styleId="1045"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49"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4"/>
    <w:uiPriority w:val="0"/>
    <w:qFormat/>
    <w:pPr>
      <w:spacing w:line="360" w:lineRule="auto"/>
    </w:pPr>
    <w:rPr>
      <w:rFonts w:ascii="Tahoma" w:hAnsi="Tahoma"/>
      <w:sz w:val="24"/>
      <w:szCs w:val="24"/>
    </w:rPr>
  </w:style>
  <w:style w:type="paragraph" w:styleId="1056" w:customStyle="1">
    <w:name w:val="table_1stline"/>
    <w:basedOn w:val="720"/>
    <w:uiPriority w:val="0"/>
    <w:qFormat/>
    <w:pPr>
      <w:jc w:val="left"/>
      <w:spacing w:before="120"/>
      <w:widowControl/>
    </w:pPr>
    <w:rPr>
      <w:bCs/>
      <w:sz w:val="20"/>
      <w:szCs w:val="20"/>
      <w:lang w:val="de-DE" w:eastAsia="de-DE"/>
    </w:rPr>
  </w:style>
  <w:style w:type="paragraph" w:styleId="1057"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普通文字"/>
    <w:basedOn w:val="720"/>
    <w:next w:val="720"/>
    <w:uiPriority w:val="99"/>
    <w:qFormat/>
    <w:rPr>
      <w:rFonts w:ascii="宋体"/>
      <w:sz w:val="24"/>
      <w:szCs w:val="20"/>
    </w:rPr>
  </w:style>
  <w:style w:type="paragraph" w:styleId="1062" w:customStyle="1">
    <w:name w:val="目录 111"/>
    <w:basedOn w:val="720"/>
    <w:next w:val="720"/>
    <w:uiPriority w:val="39"/>
    <w:unhideWhenUsed/>
    <w:qFormat/>
    <w:pPr>
      <w:jc w:val="left"/>
      <w:spacing w:after="100" w:line="259" w:lineRule="auto"/>
      <w:widowControl/>
    </w:pPr>
    <w:rPr>
      <w:rFonts w:ascii="Calibri" w:hAnsi="Calibri"/>
      <w:sz w:val="22"/>
      <w:szCs w:val="22"/>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14</cp:revision>
  <dcterms:created xsi:type="dcterms:W3CDTF">2025-05-16T02:17:00Z</dcterms:created>
  <dcterms:modified xsi:type="dcterms:W3CDTF">2025-12-09T01:44:54Z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3C4E384858C94AFB8BD0FB13019F1A43_13</vt:lpwstr>
  </property>
  <property fmtid="{D5CDD505-2E9C-101B-9397-08002B2CF9AE}" pid="4" name="KSOTemplateDocerSaveRecord">
    <vt:lpwstr>eyJoZGlkIjoiYWEwNDBkZDVjMDI2NzVhN2Q2ZjdkYzk3NDg0ZWQ4YWQiLCJ1c2VySWQiOiI1Mzk3NjA2MDAifQ==</vt:lpwstr>
  </property>
</Properties>
</file>